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黑体" w:hAnsi="黑体" w:eastAsia="黑体" w:cs="黑体"/>
          <w:color w:val="auto"/>
          <w:spacing w:val="-5"/>
          <w:sz w:val="32"/>
          <w:szCs w:val="32"/>
          <w:lang w:val="en-US" w:eastAsia="zh-CN"/>
        </w:rPr>
      </w:pPr>
      <w:bookmarkStart w:id="1" w:name="_GoBack"/>
      <w:bookmarkEnd w:id="1"/>
      <w:r>
        <w:rPr>
          <w:rFonts w:hint="eastAsia" w:ascii="黑体" w:hAnsi="黑体" w:eastAsia="黑体" w:cs="黑体"/>
          <w:color w:val="auto"/>
          <w:spacing w:val="-5"/>
          <w:sz w:val="32"/>
          <w:szCs w:val="32"/>
          <w:lang w:val="en-US" w:eastAsia="zh-CN"/>
        </w:rPr>
        <w:t>附件</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黑体" w:hAnsi="黑体" w:eastAsia="黑体" w:cs="黑体"/>
          <w:color w:val="auto"/>
          <w:spacing w:val="-5"/>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黑体" w:hAnsi="黑体" w:eastAsia="黑体" w:cs="黑体"/>
          <w:color w:val="auto"/>
          <w:spacing w:val="-5"/>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黑体" w:hAnsi="黑体" w:eastAsia="黑体" w:cs="黑体"/>
          <w:color w:val="auto"/>
          <w:spacing w:val="-5"/>
          <w:sz w:val="32"/>
          <w:szCs w:val="32"/>
          <w:lang w:val="en-US" w:eastAsia="zh-CN"/>
        </w:rPr>
      </w:pPr>
      <w:r>
        <w:rPr>
          <w:rFonts w:hint="eastAsia" w:ascii="黑体" w:hAnsi="黑体" w:eastAsia="黑体" w:cs="黑体"/>
          <w:color w:val="auto"/>
          <w:spacing w:val="-5"/>
          <w:sz w:val="32"/>
          <w:szCs w:val="32"/>
          <w:lang w:val="en-US" w:eastAsia="zh-CN"/>
        </w:rPr>
        <w:t>综合评分标准</w:t>
      </w:r>
    </w:p>
    <w:tbl>
      <w:tblPr>
        <w:tblStyle w:val="6"/>
        <w:tblW w:w="920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83"/>
        <w:gridCol w:w="800"/>
        <w:gridCol w:w="717"/>
        <w:gridCol w:w="4338"/>
        <w:gridCol w:w="1006"/>
        <w:gridCol w:w="185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73" w:hRule="atLeast"/>
          <w:jc w:val="center"/>
        </w:trPr>
        <w:tc>
          <w:tcPr>
            <w:tcW w:w="483" w:type="dxa"/>
            <w:noWrap w:val="0"/>
            <w:vAlign w:val="center"/>
          </w:tcPr>
          <w:p>
            <w:pPr>
              <w:jc w:val="center"/>
              <w:rPr>
                <w:rFonts w:ascii="宋体" w:hAnsi="宋体" w:cs="宋体"/>
                <w:b/>
                <w:bCs/>
                <w:color w:val="auto"/>
              </w:rPr>
            </w:pPr>
            <w:r>
              <w:rPr>
                <w:rFonts w:hint="eastAsia" w:ascii="宋体" w:hAnsi="宋体" w:cs="宋体"/>
                <w:b/>
                <w:bCs/>
                <w:color w:val="auto"/>
              </w:rPr>
              <w:t>序号</w:t>
            </w:r>
          </w:p>
        </w:tc>
        <w:tc>
          <w:tcPr>
            <w:tcW w:w="800" w:type="dxa"/>
            <w:noWrap w:val="0"/>
            <w:vAlign w:val="center"/>
          </w:tcPr>
          <w:p>
            <w:pPr>
              <w:jc w:val="center"/>
              <w:rPr>
                <w:rFonts w:ascii="宋体" w:hAnsi="宋体" w:cs="宋体"/>
                <w:b/>
                <w:bCs/>
                <w:color w:val="auto"/>
              </w:rPr>
            </w:pPr>
            <w:r>
              <w:rPr>
                <w:rFonts w:hint="eastAsia" w:ascii="宋体" w:hAnsi="宋体" w:cs="宋体"/>
                <w:b/>
                <w:bCs/>
                <w:color w:val="auto"/>
              </w:rPr>
              <w:t>评分因素</w:t>
            </w:r>
          </w:p>
        </w:tc>
        <w:tc>
          <w:tcPr>
            <w:tcW w:w="717" w:type="dxa"/>
            <w:noWrap w:val="0"/>
            <w:vAlign w:val="center"/>
          </w:tcPr>
          <w:p>
            <w:pPr>
              <w:jc w:val="center"/>
              <w:rPr>
                <w:rFonts w:ascii="宋体" w:hAnsi="宋体" w:cs="宋体"/>
                <w:b/>
                <w:bCs/>
                <w:color w:val="auto"/>
              </w:rPr>
            </w:pPr>
            <w:r>
              <w:rPr>
                <w:rFonts w:hint="eastAsia" w:ascii="宋体" w:hAnsi="宋体" w:cs="宋体"/>
                <w:b/>
                <w:bCs/>
                <w:color w:val="auto"/>
              </w:rPr>
              <w:t>权值</w:t>
            </w:r>
          </w:p>
        </w:tc>
        <w:tc>
          <w:tcPr>
            <w:tcW w:w="4338" w:type="dxa"/>
            <w:noWrap w:val="0"/>
            <w:vAlign w:val="center"/>
          </w:tcPr>
          <w:p>
            <w:pPr>
              <w:jc w:val="center"/>
              <w:rPr>
                <w:rFonts w:ascii="宋体" w:hAnsi="宋体" w:cs="宋体"/>
                <w:b/>
                <w:bCs/>
                <w:color w:val="auto"/>
              </w:rPr>
            </w:pPr>
            <w:r>
              <w:rPr>
                <w:rFonts w:hint="eastAsia" w:ascii="宋体" w:hAnsi="宋体" w:cs="宋体"/>
                <w:b/>
                <w:bCs/>
                <w:color w:val="auto"/>
              </w:rPr>
              <w:t>评分标准</w:t>
            </w:r>
          </w:p>
        </w:tc>
        <w:tc>
          <w:tcPr>
            <w:tcW w:w="1006" w:type="dxa"/>
            <w:noWrap w:val="0"/>
            <w:vAlign w:val="center"/>
          </w:tcPr>
          <w:p>
            <w:pPr>
              <w:jc w:val="center"/>
              <w:rPr>
                <w:rFonts w:hint="default" w:ascii="宋体" w:hAnsi="宋体" w:eastAsia="宋体" w:cs="宋体"/>
                <w:b/>
                <w:bCs/>
                <w:color w:val="auto"/>
                <w:lang w:val="en-US" w:eastAsia="zh-CN"/>
              </w:rPr>
            </w:pPr>
            <w:r>
              <w:rPr>
                <w:rFonts w:hint="eastAsia" w:ascii="宋体" w:hAnsi="宋体" w:eastAsia="宋体" w:cs="宋体"/>
                <w:b/>
                <w:bCs/>
                <w:color w:val="auto"/>
                <w:lang w:val="en-US" w:eastAsia="zh-CN"/>
              </w:rPr>
              <w:t>分值</w:t>
            </w:r>
          </w:p>
        </w:tc>
        <w:tc>
          <w:tcPr>
            <w:tcW w:w="1857" w:type="dxa"/>
            <w:noWrap w:val="0"/>
            <w:vAlign w:val="center"/>
          </w:tcPr>
          <w:p>
            <w:pPr>
              <w:jc w:val="center"/>
              <w:rPr>
                <w:rFonts w:ascii="宋体" w:hAnsi="宋体" w:cs="宋体"/>
                <w:b/>
                <w:bCs/>
                <w:color w:val="auto"/>
              </w:rPr>
            </w:pPr>
            <w:r>
              <w:rPr>
                <w:rFonts w:hint="eastAsia" w:ascii="宋体" w:hAnsi="宋体" w:cs="宋体"/>
                <w:b/>
                <w:bCs/>
                <w:color w:val="auto"/>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02" w:hRule="atLeast"/>
          <w:jc w:val="center"/>
        </w:trPr>
        <w:tc>
          <w:tcPr>
            <w:tcW w:w="483" w:type="dxa"/>
            <w:noWrap w:val="0"/>
            <w:vAlign w:val="center"/>
          </w:tcPr>
          <w:p>
            <w:pPr>
              <w:jc w:val="center"/>
              <w:rPr>
                <w:rFonts w:ascii="宋体" w:hAnsi="宋体" w:cs="宋体"/>
                <w:color w:val="auto"/>
              </w:rPr>
            </w:pPr>
            <w:r>
              <w:rPr>
                <w:rFonts w:hint="eastAsia" w:ascii="宋体" w:hAnsi="宋体" w:cs="宋体"/>
                <w:color w:val="auto"/>
              </w:rPr>
              <w:t>1</w:t>
            </w:r>
          </w:p>
        </w:tc>
        <w:tc>
          <w:tcPr>
            <w:tcW w:w="800" w:type="dxa"/>
            <w:noWrap w:val="0"/>
            <w:vAlign w:val="center"/>
          </w:tcPr>
          <w:p>
            <w:pPr>
              <w:jc w:val="center"/>
              <w:rPr>
                <w:rFonts w:ascii="宋体" w:hAnsi="宋体"/>
                <w:color w:val="auto"/>
              </w:rPr>
            </w:pPr>
            <w:r>
              <w:rPr>
                <w:rFonts w:hint="eastAsia" w:ascii="宋体" w:hAnsi="宋体"/>
                <w:color w:val="auto"/>
              </w:rPr>
              <w:t>报价</w:t>
            </w:r>
          </w:p>
        </w:tc>
        <w:tc>
          <w:tcPr>
            <w:tcW w:w="717" w:type="dxa"/>
            <w:noWrap w:val="0"/>
            <w:vAlign w:val="center"/>
          </w:tcPr>
          <w:p>
            <w:pPr>
              <w:jc w:val="center"/>
              <w:rPr>
                <w:rFonts w:ascii="宋体" w:hAnsi="宋体"/>
                <w:color w:val="auto"/>
              </w:rPr>
            </w:pPr>
            <w:r>
              <w:rPr>
                <w:rFonts w:hint="eastAsia" w:ascii="宋体" w:hAnsi="宋体" w:eastAsia="宋体"/>
                <w:color w:val="auto"/>
                <w:lang w:val="en-US" w:eastAsia="zh-CN"/>
              </w:rPr>
              <w:t>16</w:t>
            </w:r>
            <w:r>
              <w:rPr>
                <w:rFonts w:hint="eastAsia" w:ascii="宋体" w:hAnsi="宋体"/>
                <w:color w:val="auto"/>
              </w:rPr>
              <w:t>%</w:t>
            </w:r>
          </w:p>
        </w:tc>
        <w:tc>
          <w:tcPr>
            <w:tcW w:w="4338" w:type="dxa"/>
            <w:noWrap w:val="0"/>
            <w:vAlign w:val="center"/>
          </w:tcPr>
          <w:p>
            <w:pPr>
              <w:rPr>
                <w:rFonts w:hint="eastAsia" w:ascii="宋体" w:hAnsi="宋体"/>
                <w:color w:val="auto"/>
              </w:rPr>
            </w:pPr>
            <w:r>
              <w:rPr>
                <w:rFonts w:hint="eastAsia" w:ascii="宋体" w:hAnsi="宋体"/>
                <w:color w:val="auto"/>
              </w:rPr>
              <w:t>满足文件要求且报价最低的价格为基准价，其</w:t>
            </w:r>
            <w:r>
              <w:rPr>
                <w:rFonts w:hint="eastAsia" w:ascii="宋体" w:hAnsi="宋体" w:eastAsia="宋体"/>
                <w:color w:val="auto"/>
                <w:lang w:val="en-US" w:eastAsia="zh-CN"/>
              </w:rPr>
              <w:t>报价得</w:t>
            </w:r>
            <w:r>
              <w:rPr>
                <w:rFonts w:hint="eastAsia" w:ascii="宋体" w:hAnsi="宋体"/>
                <w:color w:val="auto"/>
              </w:rPr>
              <w:t>分为满分。其他供应商的价格分统一按照下列公式计算：报价得分=(基准价/</w:t>
            </w:r>
            <w:r>
              <w:rPr>
                <w:rFonts w:hint="eastAsia" w:ascii="宋体" w:hAnsi="宋体" w:eastAsia="宋体"/>
                <w:color w:val="auto"/>
                <w:lang w:val="en-US" w:eastAsia="zh-CN"/>
              </w:rPr>
              <w:t>供应商</w:t>
            </w:r>
            <w:r>
              <w:rPr>
                <w:rFonts w:hint="eastAsia" w:ascii="宋体" w:hAnsi="宋体"/>
                <w:color w:val="auto"/>
              </w:rPr>
              <w:t>报价)×1</w:t>
            </w:r>
            <w:r>
              <w:rPr>
                <w:rFonts w:hint="eastAsia" w:ascii="宋体" w:hAnsi="宋体" w:eastAsia="宋体"/>
                <w:color w:val="auto"/>
                <w:lang w:val="en-US" w:eastAsia="zh-CN"/>
              </w:rPr>
              <w:t>6</w:t>
            </w:r>
            <w:r>
              <w:rPr>
                <w:rFonts w:hint="eastAsia" w:ascii="宋体" w:hAnsi="宋体"/>
                <w:color w:val="auto"/>
              </w:rPr>
              <w:t>%×100。</w:t>
            </w:r>
          </w:p>
          <w:p>
            <w:pPr>
              <w:rPr>
                <w:rFonts w:ascii="宋体" w:hAnsi="宋体"/>
                <w:color w:val="auto"/>
              </w:rPr>
            </w:pPr>
            <w:r>
              <w:rPr>
                <w:rFonts w:hint="eastAsia" w:ascii="宋体" w:hAnsi="宋体" w:eastAsia="宋体"/>
                <w:color w:val="auto"/>
                <w:lang w:val="en-US" w:eastAsia="zh-CN"/>
              </w:rPr>
              <w:t>说明</w:t>
            </w:r>
            <w:r>
              <w:rPr>
                <w:rFonts w:hint="eastAsia" w:ascii="宋体" w:hAnsi="宋体"/>
                <w:color w:val="auto"/>
              </w:rPr>
              <w:t>：项目评审过程中，不得去掉最后报价中的最高报价和最低报价。</w:t>
            </w:r>
          </w:p>
        </w:tc>
        <w:tc>
          <w:tcPr>
            <w:tcW w:w="1006" w:type="dxa"/>
            <w:noWrap w:val="0"/>
            <w:vAlign w:val="center"/>
          </w:tcPr>
          <w:p>
            <w:pPr>
              <w:jc w:val="center"/>
              <w:rPr>
                <w:rFonts w:hint="default" w:ascii="宋体" w:hAnsi="宋体" w:eastAsia="宋体"/>
                <w:color w:val="auto"/>
                <w:lang w:val="en-US" w:eastAsia="zh-CN"/>
              </w:rPr>
            </w:pPr>
            <w:r>
              <w:rPr>
                <w:rFonts w:hint="eastAsia" w:ascii="宋体" w:hAnsi="宋体" w:eastAsia="宋体"/>
                <w:color w:val="auto"/>
                <w:lang w:val="en-US" w:eastAsia="zh-CN"/>
              </w:rPr>
              <w:t>16</w:t>
            </w:r>
          </w:p>
        </w:tc>
        <w:tc>
          <w:tcPr>
            <w:tcW w:w="1857" w:type="dxa"/>
            <w:noWrap w:val="0"/>
            <w:vAlign w:val="center"/>
          </w:tcPr>
          <w:p>
            <w:pPr>
              <w:jc w:val="center"/>
              <w:rPr>
                <w:rFonts w:hint="default" w:ascii="宋体" w:hAnsi="宋体" w:eastAsia="宋体" w:cs="宋体"/>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73" w:hRule="atLeast"/>
          <w:jc w:val="center"/>
        </w:trPr>
        <w:tc>
          <w:tcPr>
            <w:tcW w:w="483" w:type="dxa"/>
            <w:vMerge w:val="restart"/>
            <w:noWrap w:val="0"/>
            <w:vAlign w:val="center"/>
          </w:tcPr>
          <w:p>
            <w:pPr>
              <w:jc w:val="center"/>
              <w:rPr>
                <w:rFonts w:hint="eastAsia" w:ascii="宋体" w:hAnsi="宋体" w:eastAsia="宋体" w:cs="宋体"/>
                <w:color w:val="auto"/>
                <w:lang w:val="en-US" w:eastAsia="zh-CN"/>
              </w:rPr>
            </w:pPr>
            <w:r>
              <w:rPr>
                <w:rFonts w:hint="eastAsia" w:ascii="宋体" w:hAnsi="宋体" w:cs="宋体"/>
                <w:color w:val="auto"/>
                <w:lang w:val="en-US" w:eastAsia="zh-CN"/>
              </w:rPr>
              <w:t>2</w:t>
            </w:r>
          </w:p>
        </w:tc>
        <w:tc>
          <w:tcPr>
            <w:tcW w:w="800" w:type="dxa"/>
            <w:vMerge w:val="restart"/>
            <w:noWrap w:val="0"/>
            <w:vAlign w:val="center"/>
          </w:tcPr>
          <w:p>
            <w:pPr>
              <w:jc w:val="center"/>
              <w:rPr>
                <w:rFonts w:hint="eastAsia" w:ascii="宋体" w:hAnsi="宋体"/>
                <w:color w:val="auto"/>
              </w:rPr>
            </w:pPr>
            <w:r>
              <w:rPr>
                <w:rFonts w:hint="eastAsia" w:ascii="宋体" w:hAnsi="宋体"/>
                <w:color w:val="auto"/>
              </w:rPr>
              <w:t>专业人员配备</w:t>
            </w:r>
          </w:p>
        </w:tc>
        <w:tc>
          <w:tcPr>
            <w:tcW w:w="717" w:type="dxa"/>
            <w:vMerge w:val="restart"/>
            <w:noWrap w:val="0"/>
            <w:vAlign w:val="center"/>
          </w:tcPr>
          <w:p>
            <w:pPr>
              <w:jc w:val="center"/>
              <w:rPr>
                <w:rFonts w:hint="default" w:ascii="宋体" w:hAnsi="宋体" w:eastAsia="宋体"/>
                <w:color w:val="auto"/>
                <w:lang w:val="en-US" w:eastAsia="zh-CN"/>
              </w:rPr>
            </w:pPr>
            <w:r>
              <w:rPr>
                <w:rFonts w:hint="eastAsia" w:ascii="宋体" w:hAnsi="宋体"/>
                <w:color w:val="auto"/>
                <w:lang w:val="en-US" w:eastAsia="zh-CN"/>
              </w:rPr>
              <w:t>24%</w:t>
            </w:r>
          </w:p>
        </w:tc>
        <w:tc>
          <w:tcPr>
            <w:tcW w:w="4338" w:type="dxa"/>
            <w:noWrap w:val="0"/>
            <w:vAlign w:val="center"/>
          </w:tcPr>
          <w:p>
            <w:pPr>
              <w:pStyle w:val="2"/>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工程竣工结算审计（总分12分）：</w:t>
            </w:r>
          </w:p>
          <w:p>
            <w:pPr>
              <w:pStyle w:val="2"/>
              <w:numPr>
                <w:ilvl w:val="0"/>
                <w:numId w:val="0"/>
              </w:numPr>
              <w:rPr>
                <w:rFonts w:hint="eastAsia" w:eastAsia="宋体"/>
                <w:color w:val="auto"/>
                <w:lang w:val="en-US" w:eastAsia="zh-CN"/>
              </w:rPr>
            </w:pPr>
            <w:r>
              <w:rPr>
                <w:rFonts w:hint="eastAsia" w:eastAsia="宋体"/>
                <w:color w:val="auto"/>
                <w:lang w:val="en-US" w:eastAsia="zh-CN"/>
              </w:rPr>
              <w:t>1、项目负责人1人：具有一级造价工程师资格（土木建筑专业）得4分；2、技术负责人1人：具有一级造价工程师资格得4分；3、专职技术人员2人：具有二级（或二级以上）造价工程师资格每人得2分，最多得4分。（单人具有多种资格或职称的不重复计分）</w:t>
            </w:r>
          </w:p>
          <w:p>
            <w:pPr>
              <w:numPr>
                <w:ilvl w:val="0"/>
                <w:numId w:val="0"/>
              </w:numPr>
              <w:rPr>
                <w:rFonts w:hint="default"/>
                <w:color w:val="auto"/>
                <w:lang w:val="en-US" w:eastAsia="zh-CN"/>
              </w:rPr>
            </w:pPr>
            <w:r>
              <w:rPr>
                <w:rFonts w:hint="default"/>
                <w:color w:val="auto"/>
                <w:lang w:val="en-US" w:eastAsia="zh-CN"/>
              </w:rPr>
              <w:t>说明：①提供人员证书复印件及人员名单加盖供应商鲜章，未提供不得分；②以上人员就职于供应商单位在职证明材料；③上述人员均不能重复，重复不计分</w:t>
            </w:r>
          </w:p>
        </w:tc>
        <w:tc>
          <w:tcPr>
            <w:tcW w:w="1006" w:type="dxa"/>
            <w:vMerge w:val="restart"/>
            <w:noWrap w:val="0"/>
            <w:vAlign w:val="center"/>
          </w:tcPr>
          <w:p>
            <w:pPr>
              <w:jc w:val="center"/>
              <w:rPr>
                <w:rFonts w:hint="default" w:ascii="宋体" w:hAnsi="宋体" w:eastAsia="宋体"/>
                <w:color w:val="auto"/>
                <w:lang w:val="en-US" w:eastAsia="zh-CN"/>
              </w:rPr>
            </w:pPr>
            <w:r>
              <w:rPr>
                <w:rFonts w:hint="eastAsia" w:ascii="宋体" w:hAnsi="宋体" w:eastAsia="宋体"/>
                <w:color w:val="auto"/>
                <w:lang w:val="en-US" w:eastAsia="zh-CN"/>
              </w:rPr>
              <w:t>24</w:t>
            </w:r>
          </w:p>
        </w:tc>
        <w:tc>
          <w:tcPr>
            <w:tcW w:w="1857" w:type="dxa"/>
            <w:vMerge w:val="restart"/>
            <w:noWrap w:val="0"/>
            <w:vAlign w:val="center"/>
          </w:tcPr>
          <w:p>
            <w:pPr>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审计服务人员符合资质要求，可在2个团队中重复计分。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00" w:hRule="atLeast"/>
          <w:jc w:val="center"/>
        </w:trPr>
        <w:tc>
          <w:tcPr>
            <w:tcW w:w="483" w:type="dxa"/>
            <w:vMerge w:val="continue"/>
            <w:noWrap w:val="0"/>
            <w:vAlign w:val="center"/>
          </w:tcPr>
          <w:p>
            <w:pPr>
              <w:jc w:val="center"/>
              <w:rPr>
                <w:rFonts w:hint="eastAsia" w:ascii="宋体" w:hAnsi="宋体" w:cs="宋体"/>
                <w:color w:val="auto"/>
                <w:lang w:val="en-US" w:eastAsia="zh-CN"/>
              </w:rPr>
            </w:pPr>
          </w:p>
        </w:tc>
        <w:tc>
          <w:tcPr>
            <w:tcW w:w="800" w:type="dxa"/>
            <w:vMerge w:val="continue"/>
            <w:noWrap w:val="0"/>
            <w:vAlign w:val="center"/>
          </w:tcPr>
          <w:p>
            <w:pPr>
              <w:jc w:val="center"/>
              <w:rPr>
                <w:rFonts w:hint="eastAsia" w:ascii="宋体" w:hAnsi="宋体"/>
                <w:color w:val="auto"/>
              </w:rPr>
            </w:pPr>
          </w:p>
        </w:tc>
        <w:tc>
          <w:tcPr>
            <w:tcW w:w="717" w:type="dxa"/>
            <w:vMerge w:val="continue"/>
            <w:noWrap w:val="0"/>
            <w:vAlign w:val="center"/>
          </w:tcPr>
          <w:p>
            <w:pPr>
              <w:jc w:val="center"/>
              <w:rPr>
                <w:rFonts w:hint="eastAsia" w:ascii="宋体" w:hAnsi="宋体"/>
                <w:color w:val="auto"/>
                <w:lang w:val="en-US" w:eastAsia="zh-CN"/>
              </w:rPr>
            </w:pPr>
          </w:p>
        </w:tc>
        <w:tc>
          <w:tcPr>
            <w:tcW w:w="4338" w:type="dxa"/>
            <w:noWrap w:val="0"/>
            <w:vAlign w:val="center"/>
          </w:tcPr>
          <w:p>
            <w:pPr>
              <w:rPr>
                <w:rFonts w:hint="eastAsia" w:ascii="宋体" w:hAnsi="宋体" w:eastAsia="宋体"/>
                <w:b/>
                <w:bCs/>
                <w:color w:val="auto"/>
                <w:lang w:val="en-US" w:eastAsia="zh-CN"/>
              </w:rPr>
            </w:pPr>
            <w:r>
              <w:rPr>
                <w:rFonts w:hint="eastAsia" w:ascii="宋体" w:hAnsi="宋体" w:eastAsia="宋体"/>
                <w:b/>
                <w:bCs/>
                <w:color w:val="auto"/>
                <w:lang w:val="en-US" w:eastAsia="zh-CN"/>
              </w:rPr>
              <w:t>采购专项审计（总分12分）：</w:t>
            </w:r>
          </w:p>
          <w:p>
            <w:pPr>
              <w:rPr>
                <w:rFonts w:hint="eastAsia" w:ascii="宋体" w:hAnsi="宋体"/>
                <w:color w:val="auto"/>
              </w:rPr>
            </w:pPr>
            <w:r>
              <w:rPr>
                <w:rFonts w:hint="eastAsia" w:ascii="宋体" w:hAnsi="宋体"/>
                <w:color w:val="auto"/>
              </w:rPr>
              <w:t>1、</w:t>
            </w:r>
            <w:r>
              <w:rPr>
                <w:rFonts w:hint="eastAsia" w:ascii="宋体" w:hAnsi="宋体" w:eastAsia="宋体"/>
                <w:color w:val="auto"/>
                <w:lang w:val="en-US" w:eastAsia="zh-CN"/>
              </w:rPr>
              <w:t>项目</w:t>
            </w:r>
            <w:r>
              <w:rPr>
                <w:rFonts w:hint="eastAsia" w:ascii="宋体" w:hAnsi="宋体"/>
                <w:color w:val="auto"/>
              </w:rPr>
              <w:t>负责人</w:t>
            </w:r>
            <w:r>
              <w:rPr>
                <w:rFonts w:hint="eastAsia" w:ascii="宋体" w:hAnsi="宋体" w:eastAsia="宋体"/>
                <w:color w:val="auto"/>
                <w:lang w:val="en-US" w:eastAsia="zh-CN"/>
              </w:rPr>
              <w:t>1人</w:t>
            </w:r>
            <w:r>
              <w:rPr>
                <w:rFonts w:hint="eastAsia" w:ascii="宋体" w:hAnsi="宋体"/>
                <w:color w:val="auto"/>
              </w:rPr>
              <w:t>（</w:t>
            </w:r>
            <w:r>
              <w:rPr>
                <w:rFonts w:hint="eastAsia" w:ascii="宋体" w:hAnsi="宋体" w:eastAsia="宋体"/>
                <w:color w:val="auto"/>
                <w:lang w:val="en-US" w:eastAsia="zh-CN"/>
              </w:rPr>
              <w:t>6</w:t>
            </w:r>
            <w:r>
              <w:rPr>
                <w:rFonts w:hint="eastAsia" w:ascii="宋体" w:hAnsi="宋体"/>
                <w:color w:val="auto"/>
              </w:rPr>
              <w:t>分）</w:t>
            </w:r>
            <w:r>
              <w:rPr>
                <w:rFonts w:hint="eastAsia" w:ascii="宋体" w:hAnsi="宋体" w:eastAsia="宋体"/>
                <w:color w:val="auto"/>
                <w:lang w:val="en-US" w:eastAsia="zh-CN"/>
              </w:rPr>
              <w:t>：</w:t>
            </w:r>
            <w:r>
              <w:rPr>
                <w:rFonts w:hint="eastAsia" w:ascii="宋体" w:hAnsi="宋体"/>
                <w:color w:val="auto"/>
              </w:rPr>
              <w:t>具有注册会计师执业资格</w:t>
            </w:r>
            <w:r>
              <w:rPr>
                <w:rFonts w:hint="eastAsia" w:ascii="宋体" w:hAnsi="宋体" w:eastAsia="宋体"/>
                <w:color w:val="auto"/>
                <w:lang w:val="en-US" w:eastAsia="zh-CN"/>
              </w:rPr>
              <w:t>证书得4分，且2022年1月1日以来</w:t>
            </w:r>
            <w:r>
              <w:rPr>
                <w:rFonts w:hint="eastAsia" w:ascii="宋体" w:hAnsi="宋体"/>
                <w:color w:val="auto"/>
              </w:rPr>
              <w:t>（以报告日期为准）</w:t>
            </w:r>
            <w:r>
              <w:rPr>
                <w:rFonts w:hint="eastAsia" w:ascii="宋体" w:hAnsi="宋体" w:eastAsia="宋体"/>
                <w:color w:val="auto"/>
                <w:lang w:val="en-US" w:eastAsia="zh-CN"/>
              </w:rPr>
              <w:t>，项目负责人每从事类似行政事业单位专项审计经验业绩一个加1分，最多加2分。（审计经验业绩以审计报告为准，审计报告上签章必须与项目负责人一致，应提供审计报告复印件并加盖鲜章）</w:t>
            </w:r>
          </w:p>
          <w:p>
            <w:pPr>
              <w:rPr>
                <w:rFonts w:hint="eastAsia" w:ascii="宋体" w:hAnsi="宋体" w:eastAsia="宋体"/>
                <w:color w:val="auto"/>
                <w:lang w:eastAsia="zh-CN"/>
              </w:rPr>
            </w:pPr>
            <w:r>
              <w:rPr>
                <w:rFonts w:hint="eastAsia" w:ascii="宋体" w:hAnsi="宋体"/>
                <w:color w:val="auto"/>
              </w:rPr>
              <w:t>2、项目其他人员配置（</w:t>
            </w:r>
            <w:r>
              <w:rPr>
                <w:rFonts w:hint="eastAsia" w:ascii="宋体" w:hAnsi="宋体" w:eastAsia="宋体"/>
                <w:color w:val="auto"/>
                <w:lang w:val="en-US" w:eastAsia="zh-CN"/>
              </w:rPr>
              <w:t>6</w:t>
            </w:r>
            <w:r>
              <w:rPr>
                <w:rFonts w:hint="eastAsia" w:ascii="宋体" w:hAnsi="宋体"/>
                <w:color w:val="auto"/>
              </w:rPr>
              <w:t>分）：具有中级会计师</w:t>
            </w:r>
            <w:r>
              <w:rPr>
                <w:rFonts w:hint="eastAsia" w:ascii="宋体" w:hAnsi="宋体" w:eastAsia="宋体"/>
                <w:color w:val="auto"/>
                <w:lang w:val="en-US" w:eastAsia="zh-CN"/>
              </w:rPr>
              <w:t>及以上会计专业技术资格</w:t>
            </w:r>
            <w:r>
              <w:rPr>
                <w:rFonts w:hint="eastAsia" w:ascii="宋体" w:hAnsi="宋体"/>
                <w:color w:val="auto"/>
              </w:rPr>
              <w:t>的，每人得</w:t>
            </w:r>
            <w:r>
              <w:rPr>
                <w:rFonts w:hint="eastAsia" w:ascii="宋体" w:hAnsi="宋体" w:eastAsia="宋体"/>
                <w:color w:val="auto"/>
                <w:lang w:val="en-US" w:eastAsia="zh-CN"/>
              </w:rPr>
              <w:t>2</w:t>
            </w:r>
            <w:r>
              <w:rPr>
                <w:rFonts w:hint="eastAsia" w:ascii="宋体" w:hAnsi="宋体"/>
                <w:color w:val="auto"/>
              </w:rPr>
              <w:t>分</w:t>
            </w:r>
            <w:r>
              <w:rPr>
                <w:rFonts w:hint="eastAsia" w:ascii="宋体" w:hAnsi="宋体" w:eastAsia="宋体"/>
                <w:color w:val="auto"/>
                <w:lang w:eastAsia="zh-CN"/>
              </w:rPr>
              <w:t>，</w:t>
            </w:r>
            <w:r>
              <w:rPr>
                <w:rFonts w:hint="eastAsia" w:ascii="宋体" w:hAnsi="宋体" w:eastAsia="宋体"/>
                <w:color w:val="auto"/>
                <w:lang w:val="en-US" w:eastAsia="zh-CN"/>
              </w:rPr>
              <w:t>最多得6分</w:t>
            </w:r>
            <w:r>
              <w:rPr>
                <w:rFonts w:hint="eastAsia" w:ascii="宋体" w:hAnsi="宋体"/>
                <w:color w:val="auto"/>
              </w:rPr>
              <w:t>（单人具有多种资格或职称的不重复计分）</w:t>
            </w:r>
            <w:r>
              <w:rPr>
                <w:rFonts w:hint="eastAsia" w:ascii="宋体" w:hAnsi="宋体" w:eastAsia="宋体"/>
                <w:color w:val="auto"/>
                <w:lang w:eastAsia="zh-CN"/>
              </w:rPr>
              <w:t>。</w:t>
            </w:r>
          </w:p>
          <w:p>
            <w:pPr>
              <w:pStyle w:val="2"/>
              <w:rPr>
                <w:rFonts w:hint="eastAsia" w:ascii="宋体" w:hAnsi="宋体" w:eastAsia="宋体"/>
                <w:color w:val="auto"/>
                <w:lang w:val="en-US" w:eastAsia="zh-CN"/>
              </w:rPr>
            </w:pPr>
            <w:bookmarkStart w:id="0" w:name="OLE_LINK2"/>
            <w:r>
              <w:rPr>
                <w:rFonts w:hint="eastAsia" w:ascii="宋体" w:hAnsi="宋体" w:eastAsia="宋体"/>
                <w:color w:val="auto"/>
                <w:lang w:val="en-US" w:eastAsia="zh-CN"/>
              </w:rPr>
              <w:t>说明：①提供人员证书复印件及人员名单</w:t>
            </w:r>
            <w:r>
              <w:rPr>
                <w:rFonts w:hint="eastAsia"/>
                <w:color w:val="auto"/>
                <w:lang w:val="en-US" w:eastAsia="zh-CN"/>
              </w:rPr>
              <w:t>加盖供应商鲜章，</w:t>
            </w:r>
            <w:r>
              <w:rPr>
                <w:rFonts w:hint="eastAsia" w:ascii="宋体" w:hAnsi="宋体"/>
                <w:color w:val="auto"/>
              </w:rPr>
              <w:t>未提供不得分</w:t>
            </w:r>
            <w:r>
              <w:rPr>
                <w:rFonts w:hint="eastAsia" w:ascii="宋体" w:hAnsi="宋体" w:eastAsia="宋体"/>
                <w:color w:val="auto"/>
                <w:lang w:eastAsia="zh-CN"/>
              </w:rPr>
              <w:t>；</w:t>
            </w:r>
            <w:r>
              <w:rPr>
                <w:rFonts w:hint="eastAsia" w:ascii="宋体" w:hAnsi="宋体" w:eastAsia="宋体"/>
                <w:color w:val="auto"/>
                <w:lang w:val="en-US" w:eastAsia="zh-CN"/>
              </w:rPr>
              <w:t>②</w:t>
            </w:r>
            <w:r>
              <w:rPr>
                <w:rFonts w:hint="eastAsia" w:ascii="宋体" w:hAnsi="宋体" w:eastAsia="宋体"/>
                <w:color w:val="auto"/>
                <w:lang w:eastAsia="zh-CN"/>
              </w:rPr>
              <w:t>以上人员就职于供应商单位在职证明材料；</w:t>
            </w:r>
            <w:r>
              <w:rPr>
                <w:rFonts w:hint="eastAsia" w:ascii="宋体" w:hAnsi="宋体" w:eastAsia="宋体"/>
                <w:color w:val="auto"/>
                <w:lang w:val="en-US" w:eastAsia="zh-CN"/>
              </w:rPr>
              <w:t>③</w:t>
            </w:r>
            <w:r>
              <w:rPr>
                <w:rFonts w:hint="eastAsia" w:ascii="宋体" w:hAnsi="宋体" w:eastAsia="宋体"/>
                <w:color w:val="auto"/>
                <w:lang w:eastAsia="zh-CN"/>
              </w:rPr>
              <w:t>上述人员均不能重复，重复不计分</w:t>
            </w:r>
            <w:bookmarkEnd w:id="0"/>
          </w:p>
        </w:tc>
        <w:tc>
          <w:tcPr>
            <w:tcW w:w="1006" w:type="dxa"/>
            <w:vMerge w:val="continue"/>
            <w:noWrap w:val="0"/>
            <w:vAlign w:val="center"/>
          </w:tcPr>
          <w:p>
            <w:pPr>
              <w:jc w:val="center"/>
              <w:rPr>
                <w:rFonts w:hint="eastAsia" w:ascii="宋体" w:hAnsi="宋体" w:eastAsia="宋体"/>
                <w:color w:val="auto"/>
                <w:lang w:val="en-US" w:eastAsia="zh-CN"/>
              </w:rPr>
            </w:pPr>
          </w:p>
        </w:tc>
        <w:tc>
          <w:tcPr>
            <w:tcW w:w="1857" w:type="dxa"/>
            <w:vMerge w:val="continue"/>
            <w:noWrap w:val="0"/>
            <w:vAlign w:val="center"/>
          </w:tcPr>
          <w:p>
            <w:pPr>
              <w:jc w:val="center"/>
              <w:rPr>
                <w:rFonts w:hint="eastAsia" w:ascii="宋体" w:hAnsi="宋体" w:eastAsia="宋体" w:cs="宋体"/>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83" w:type="dxa"/>
            <w:vMerge w:val="restart"/>
            <w:noWrap w:val="0"/>
            <w:vAlign w:val="center"/>
          </w:tcPr>
          <w:p>
            <w:pPr>
              <w:jc w:val="center"/>
              <w:rPr>
                <w:rFonts w:hint="default" w:ascii="宋体" w:hAnsi="宋体" w:cs="宋体"/>
                <w:color w:val="auto"/>
                <w:lang w:val="en-US" w:eastAsia="zh-CN"/>
              </w:rPr>
            </w:pPr>
            <w:r>
              <w:rPr>
                <w:rFonts w:hint="eastAsia" w:ascii="宋体" w:hAnsi="宋体" w:cs="宋体"/>
                <w:color w:val="auto"/>
                <w:lang w:val="en-US" w:eastAsia="zh-CN"/>
              </w:rPr>
              <w:t>3</w:t>
            </w:r>
          </w:p>
        </w:tc>
        <w:tc>
          <w:tcPr>
            <w:tcW w:w="800" w:type="dxa"/>
            <w:vMerge w:val="restart"/>
            <w:noWrap w:val="0"/>
            <w:vAlign w:val="center"/>
          </w:tcPr>
          <w:p>
            <w:pPr>
              <w:jc w:val="center"/>
              <w:rPr>
                <w:rFonts w:hint="eastAsia" w:ascii="宋体" w:hAnsi="宋体" w:eastAsia="宋体"/>
                <w:color w:val="auto"/>
                <w:lang w:val="en-US" w:eastAsia="zh-CN"/>
              </w:rPr>
            </w:pPr>
            <w:r>
              <w:rPr>
                <w:rFonts w:hint="eastAsia" w:ascii="宋体" w:hAnsi="宋体"/>
                <w:color w:val="auto"/>
                <w:lang w:val="en-US" w:eastAsia="zh-CN"/>
              </w:rPr>
              <w:t>履约能力</w:t>
            </w:r>
          </w:p>
        </w:tc>
        <w:tc>
          <w:tcPr>
            <w:tcW w:w="717" w:type="dxa"/>
            <w:vMerge w:val="restart"/>
            <w:noWrap w:val="0"/>
            <w:vAlign w:val="center"/>
          </w:tcPr>
          <w:p>
            <w:pPr>
              <w:jc w:val="center"/>
              <w:rPr>
                <w:rFonts w:hint="default" w:ascii="宋体" w:hAnsi="宋体"/>
                <w:color w:val="auto"/>
                <w:lang w:val="en-US" w:eastAsia="zh-CN"/>
              </w:rPr>
            </w:pPr>
            <w:r>
              <w:rPr>
                <w:rFonts w:hint="eastAsia" w:ascii="宋体" w:hAnsi="宋体"/>
                <w:color w:val="auto"/>
                <w:lang w:val="en-US" w:eastAsia="zh-CN"/>
              </w:rPr>
              <w:t>20%</w:t>
            </w:r>
          </w:p>
        </w:tc>
        <w:tc>
          <w:tcPr>
            <w:tcW w:w="4338" w:type="dxa"/>
            <w:noWrap w:val="0"/>
            <w:vAlign w:val="center"/>
          </w:tcPr>
          <w:p>
            <w:pPr>
              <w:rPr>
                <w:rFonts w:hint="eastAsia" w:ascii="宋体" w:hAnsi="宋体" w:eastAsia="宋体"/>
                <w:b/>
                <w:bCs/>
                <w:color w:val="auto"/>
                <w:lang w:eastAsia="zh-CN"/>
              </w:rPr>
            </w:pPr>
            <w:r>
              <w:rPr>
                <w:rFonts w:hint="eastAsia" w:ascii="宋体" w:hAnsi="宋体" w:eastAsia="宋体"/>
                <w:b/>
                <w:bCs/>
                <w:color w:val="auto"/>
                <w:lang w:eastAsia="zh-CN"/>
              </w:rPr>
              <w:t>工程竣工结算审计（</w:t>
            </w:r>
            <w:r>
              <w:rPr>
                <w:rFonts w:hint="eastAsia" w:ascii="宋体" w:hAnsi="宋体" w:eastAsia="宋体"/>
                <w:b/>
                <w:bCs/>
                <w:color w:val="auto"/>
                <w:lang w:val="en-US" w:eastAsia="zh-CN"/>
              </w:rPr>
              <w:t>10分</w:t>
            </w:r>
            <w:r>
              <w:rPr>
                <w:rFonts w:hint="eastAsia" w:ascii="宋体" w:hAnsi="宋体" w:eastAsia="宋体"/>
                <w:b/>
                <w:bCs/>
                <w:color w:val="auto"/>
                <w:lang w:eastAsia="zh-CN"/>
              </w:rPr>
              <w:t>）：</w:t>
            </w:r>
          </w:p>
          <w:p>
            <w:pPr>
              <w:pStyle w:val="2"/>
              <w:rPr>
                <w:rFonts w:hint="eastAsia" w:ascii="宋体" w:hAnsi="宋体" w:eastAsia="Arial" w:cs="Arial"/>
                <w:snapToGrid w:val="0"/>
                <w:color w:val="auto"/>
                <w:kern w:val="0"/>
                <w:sz w:val="21"/>
                <w:szCs w:val="21"/>
                <w:lang w:val="en-US" w:eastAsia="zh-CN" w:bidi="ar-SA"/>
              </w:rPr>
            </w:pPr>
            <w:r>
              <w:rPr>
                <w:rFonts w:hint="eastAsia" w:ascii="宋体" w:hAnsi="宋体" w:eastAsia="Arial" w:cs="Arial"/>
                <w:snapToGrid w:val="0"/>
                <w:color w:val="auto"/>
                <w:kern w:val="0"/>
                <w:sz w:val="21"/>
                <w:szCs w:val="21"/>
                <w:lang w:val="en-US" w:eastAsia="zh-CN" w:bidi="ar-SA"/>
              </w:rPr>
              <w:t>供应商2022年1月1日以来</w:t>
            </w:r>
            <w:r>
              <w:rPr>
                <w:rFonts w:hint="eastAsia" w:ascii="宋体" w:hAnsi="宋体" w:eastAsia="Arial" w:cs="Arial"/>
                <w:snapToGrid w:val="0"/>
                <w:color w:val="auto"/>
                <w:kern w:val="0"/>
                <w:sz w:val="21"/>
                <w:szCs w:val="21"/>
                <w:lang w:val="en-US" w:eastAsia="en-US" w:bidi="ar-SA"/>
              </w:rPr>
              <w:t>（以报告日期为准）</w:t>
            </w:r>
            <w:r>
              <w:rPr>
                <w:rFonts w:hint="eastAsia" w:ascii="宋体" w:hAnsi="宋体" w:eastAsia="Arial" w:cs="Arial"/>
                <w:snapToGrid w:val="0"/>
                <w:color w:val="auto"/>
                <w:kern w:val="0"/>
                <w:sz w:val="21"/>
                <w:szCs w:val="21"/>
                <w:lang w:val="en-US" w:eastAsia="zh-CN" w:bidi="ar-SA"/>
              </w:rPr>
              <w:t>每具有一个工程造价咨询业绩得2.5分，最多得10分。</w:t>
            </w:r>
          </w:p>
          <w:p>
            <w:pPr>
              <w:rPr>
                <w:rFonts w:hint="eastAsia"/>
                <w:color w:val="auto"/>
                <w:lang w:eastAsia="zh-CN"/>
              </w:rPr>
            </w:pPr>
            <w:r>
              <w:rPr>
                <w:rFonts w:hint="eastAsia" w:ascii="宋体" w:hAnsi="宋体" w:eastAsia="Arial" w:cs="Arial"/>
                <w:snapToGrid w:val="0"/>
                <w:color w:val="auto"/>
                <w:kern w:val="0"/>
                <w:sz w:val="21"/>
                <w:szCs w:val="21"/>
                <w:lang w:val="en-US" w:eastAsia="zh-CN" w:bidi="ar-SA"/>
              </w:rPr>
              <w:t>说明：提供合同或各类专项审计报告或中标（成交）通知书复印件加盖供应商鲜章，未提供不得分。</w:t>
            </w:r>
          </w:p>
        </w:tc>
        <w:tc>
          <w:tcPr>
            <w:tcW w:w="1006" w:type="dxa"/>
            <w:vMerge w:val="restart"/>
            <w:noWrap w:val="0"/>
            <w:vAlign w:val="center"/>
          </w:tcPr>
          <w:p>
            <w:pPr>
              <w:jc w:val="center"/>
              <w:rPr>
                <w:rFonts w:hint="default" w:ascii="宋体" w:hAnsi="宋体"/>
                <w:color w:val="auto"/>
                <w:lang w:val="en-US" w:eastAsia="zh-CN"/>
              </w:rPr>
            </w:pPr>
            <w:r>
              <w:rPr>
                <w:rFonts w:hint="eastAsia" w:ascii="宋体" w:hAnsi="宋体"/>
                <w:color w:val="auto"/>
                <w:lang w:val="en-US" w:eastAsia="zh-CN"/>
              </w:rPr>
              <w:t>20</w:t>
            </w:r>
          </w:p>
        </w:tc>
        <w:tc>
          <w:tcPr>
            <w:tcW w:w="1857" w:type="dxa"/>
            <w:vMerge w:val="restart"/>
            <w:noWrap w:val="0"/>
            <w:vAlign w:val="center"/>
          </w:tcPr>
          <w:p>
            <w:pPr>
              <w:jc w:val="center"/>
              <w:rPr>
                <w:rFonts w:hint="eastAsia" w:ascii="宋体" w:hAnsi="宋体" w:eastAsia="宋体" w:cs="宋体"/>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02" w:hRule="atLeast"/>
          <w:jc w:val="center"/>
        </w:trPr>
        <w:tc>
          <w:tcPr>
            <w:tcW w:w="483" w:type="dxa"/>
            <w:vMerge w:val="continue"/>
            <w:noWrap w:val="0"/>
            <w:vAlign w:val="center"/>
          </w:tcPr>
          <w:p>
            <w:pPr>
              <w:jc w:val="center"/>
              <w:rPr>
                <w:rFonts w:hint="eastAsia" w:ascii="宋体" w:hAnsi="宋体" w:cs="宋体"/>
                <w:color w:val="auto"/>
                <w:lang w:val="en-US" w:eastAsia="zh-CN"/>
              </w:rPr>
            </w:pPr>
          </w:p>
        </w:tc>
        <w:tc>
          <w:tcPr>
            <w:tcW w:w="800" w:type="dxa"/>
            <w:vMerge w:val="continue"/>
            <w:noWrap w:val="0"/>
            <w:vAlign w:val="center"/>
          </w:tcPr>
          <w:p>
            <w:pPr>
              <w:rPr>
                <w:rFonts w:hint="eastAsia" w:ascii="宋体" w:hAnsi="宋体"/>
                <w:color w:val="auto"/>
                <w:lang w:val="en-US" w:eastAsia="zh-CN"/>
              </w:rPr>
            </w:pPr>
          </w:p>
        </w:tc>
        <w:tc>
          <w:tcPr>
            <w:tcW w:w="717" w:type="dxa"/>
            <w:vMerge w:val="continue"/>
            <w:noWrap w:val="0"/>
            <w:vAlign w:val="center"/>
          </w:tcPr>
          <w:p>
            <w:pPr>
              <w:jc w:val="center"/>
              <w:rPr>
                <w:rFonts w:hint="default" w:ascii="宋体" w:hAnsi="宋体"/>
                <w:color w:val="auto"/>
                <w:lang w:val="en-US" w:eastAsia="zh-CN"/>
              </w:rPr>
            </w:pPr>
          </w:p>
        </w:tc>
        <w:tc>
          <w:tcPr>
            <w:tcW w:w="4338" w:type="dxa"/>
            <w:noWrap w:val="0"/>
            <w:vAlign w:val="center"/>
          </w:tcPr>
          <w:p>
            <w:pPr>
              <w:rPr>
                <w:rFonts w:hint="eastAsia" w:ascii="宋体" w:hAnsi="宋体"/>
                <w:b/>
                <w:bCs/>
                <w:color w:val="auto"/>
              </w:rPr>
            </w:pPr>
            <w:r>
              <w:rPr>
                <w:rFonts w:hint="eastAsia" w:ascii="宋体" w:hAnsi="宋体"/>
                <w:b/>
                <w:bCs/>
                <w:color w:val="auto"/>
              </w:rPr>
              <w:t>采购专项审计</w:t>
            </w:r>
            <w:r>
              <w:rPr>
                <w:rFonts w:hint="eastAsia" w:ascii="宋体" w:hAnsi="宋体" w:eastAsia="宋体"/>
                <w:b/>
                <w:bCs/>
                <w:color w:val="auto"/>
                <w:lang w:eastAsia="zh-CN"/>
              </w:rPr>
              <w:t>（</w:t>
            </w:r>
            <w:r>
              <w:rPr>
                <w:rFonts w:hint="eastAsia" w:ascii="宋体" w:hAnsi="宋体" w:eastAsia="宋体"/>
                <w:b/>
                <w:bCs/>
                <w:color w:val="auto"/>
                <w:lang w:val="en-US" w:eastAsia="zh-CN"/>
              </w:rPr>
              <w:t>10分</w:t>
            </w:r>
            <w:r>
              <w:rPr>
                <w:rFonts w:hint="eastAsia" w:ascii="宋体" w:hAnsi="宋体" w:eastAsia="宋体"/>
                <w:b/>
                <w:bCs/>
                <w:color w:val="auto"/>
                <w:lang w:eastAsia="zh-CN"/>
              </w:rPr>
              <w:t>）</w:t>
            </w:r>
            <w:r>
              <w:rPr>
                <w:rFonts w:hint="eastAsia" w:ascii="宋体" w:hAnsi="宋体"/>
                <w:b/>
                <w:bCs/>
                <w:color w:val="auto"/>
              </w:rPr>
              <w:t>：</w:t>
            </w:r>
          </w:p>
          <w:p>
            <w:pPr>
              <w:rPr>
                <w:rFonts w:hint="eastAsia" w:ascii="宋体" w:hAnsi="宋体"/>
                <w:color w:val="auto"/>
              </w:rPr>
            </w:pPr>
            <w:r>
              <w:rPr>
                <w:rFonts w:hint="eastAsia" w:ascii="宋体" w:hAnsi="宋体"/>
                <w:color w:val="auto"/>
              </w:rPr>
              <w:t>供应商20</w:t>
            </w:r>
            <w:r>
              <w:rPr>
                <w:rFonts w:hint="eastAsia" w:ascii="宋体" w:hAnsi="宋体" w:eastAsia="宋体"/>
                <w:color w:val="auto"/>
                <w:lang w:val="en-US" w:eastAsia="zh-CN"/>
              </w:rPr>
              <w:t>22</w:t>
            </w:r>
            <w:r>
              <w:rPr>
                <w:rFonts w:hint="eastAsia" w:ascii="宋体" w:hAnsi="宋体"/>
                <w:color w:val="auto"/>
              </w:rPr>
              <w:t>年1月1日以来（以报告日期为准）</w:t>
            </w:r>
            <w:r>
              <w:rPr>
                <w:rFonts w:hint="eastAsia" w:ascii="宋体" w:hAnsi="宋体" w:eastAsia="宋体"/>
                <w:color w:val="auto"/>
                <w:lang w:val="en-US" w:eastAsia="zh-CN"/>
              </w:rPr>
              <w:t>每</w:t>
            </w:r>
            <w:r>
              <w:rPr>
                <w:rFonts w:hint="eastAsia" w:ascii="宋体" w:hAnsi="宋体"/>
                <w:color w:val="auto"/>
                <w:lang w:val="en-US" w:eastAsia="zh-CN"/>
              </w:rPr>
              <w:t>完成一个行政事业单位类似采购专项审计服务业绩得2.5分</w:t>
            </w:r>
            <w:r>
              <w:rPr>
                <w:rFonts w:hint="eastAsia" w:ascii="宋体" w:hAnsi="宋体"/>
                <w:color w:val="auto"/>
              </w:rPr>
              <w:t>，</w:t>
            </w:r>
            <w:r>
              <w:rPr>
                <w:rFonts w:hint="eastAsia" w:ascii="宋体" w:hAnsi="宋体" w:eastAsia="宋体"/>
                <w:color w:val="auto"/>
                <w:lang w:val="en-US" w:eastAsia="zh-CN"/>
              </w:rPr>
              <w:t>最多得</w:t>
            </w:r>
            <w:r>
              <w:rPr>
                <w:rFonts w:hint="eastAsia" w:ascii="宋体" w:hAnsi="宋体"/>
                <w:color w:val="auto"/>
              </w:rPr>
              <w:t>1</w:t>
            </w:r>
            <w:r>
              <w:rPr>
                <w:rFonts w:hint="eastAsia" w:ascii="宋体" w:hAnsi="宋体" w:eastAsia="宋体"/>
                <w:color w:val="auto"/>
                <w:lang w:val="en-US" w:eastAsia="zh-CN"/>
              </w:rPr>
              <w:t>0</w:t>
            </w:r>
            <w:r>
              <w:rPr>
                <w:rFonts w:hint="eastAsia" w:ascii="宋体" w:hAnsi="宋体"/>
                <w:color w:val="auto"/>
              </w:rPr>
              <w:t>分。</w:t>
            </w:r>
          </w:p>
          <w:p>
            <w:pPr>
              <w:pStyle w:val="2"/>
              <w:rPr>
                <w:rFonts w:hint="eastAsia"/>
                <w:color w:val="auto"/>
                <w:lang w:val="en-US" w:eastAsia="zh-CN"/>
              </w:rPr>
            </w:pPr>
            <w:r>
              <w:rPr>
                <w:rFonts w:hint="eastAsia" w:ascii="宋体" w:hAnsi="宋体"/>
                <w:color w:val="auto"/>
              </w:rPr>
              <w:t>说明：提供合同</w:t>
            </w:r>
            <w:r>
              <w:rPr>
                <w:rFonts w:hint="eastAsia" w:ascii="宋体" w:hAnsi="宋体"/>
                <w:color w:val="auto"/>
                <w:lang w:val="en-US" w:eastAsia="zh-CN"/>
              </w:rPr>
              <w:t>或各类专项审计报告</w:t>
            </w:r>
            <w:r>
              <w:rPr>
                <w:rFonts w:hint="eastAsia" w:ascii="宋体" w:hAnsi="宋体"/>
                <w:color w:val="auto"/>
              </w:rPr>
              <w:t>或中标（成交）通知书复印件加盖供应商鲜章，未提供不得分</w:t>
            </w:r>
            <w:r>
              <w:rPr>
                <w:rFonts w:hint="eastAsia" w:ascii="宋体" w:hAnsi="宋体" w:eastAsia="宋体"/>
                <w:color w:val="auto"/>
                <w:lang w:eastAsia="zh-CN"/>
              </w:rPr>
              <w:t>。</w:t>
            </w:r>
          </w:p>
        </w:tc>
        <w:tc>
          <w:tcPr>
            <w:tcW w:w="1006" w:type="dxa"/>
            <w:vMerge w:val="continue"/>
            <w:noWrap w:val="0"/>
            <w:vAlign w:val="center"/>
          </w:tcPr>
          <w:p>
            <w:pPr>
              <w:jc w:val="center"/>
              <w:rPr>
                <w:rFonts w:hint="default" w:ascii="宋体" w:hAnsi="宋体"/>
                <w:color w:val="auto"/>
                <w:lang w:val="en-US" w:eastAsia="zh-CN"/>
              </w:rPr>
            </w:pPr>
          </w:p>
        </w:tc>
        <w:tc>
          <w:tcPr>
            <w:tcW w:w="1857" w:type="dxa"/>
            <w:vMerge w:val="continue"/>
            <w:noWrap w:val="0"/>
            <w:vAlign w:val="center"/>
          </w:tcPr>
          <w:p>
            <w:pPr>
              <w:jc w:val="center"/>
              <w:rPr>
                <w:rFonts w:hint="eastAsia" w:ascii="宋体" w:hAnsi="宋体" w:cs="宋体"/>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02" w:hRule="atLeast"/>
          <w:jc w:val="center"/>
        </w:trPr>
        <w:tc>
          <w:tcPr>
            <w:tcW w:w="483" w:type="dxa"/>
            <w:noWrap w:val="0"/>
            <w:vAlign w:val="center"/>
          </w:tcPr>
          <w:p>
            <w:pPr>
              <w:jc w:val="center"/>
              <w:rPr>
                <w:rFonts w:hint="default" w:ascii="宋体" w:hAnsi="宋体" w:cs="宋体"/>
                <w:color w:val="auto"/>
                <w:lang w:val="en-US" w:eastAsia="zh-CN"/>
              </w:rPr>
            </w:pPr>
            <w:r>
              <w:rPr>
                <w:rFonts w:hint="eastAsia" w:ascii="宋体" w:hAnsi="宋体" w:cs="宋体"/>
                <w:color w:val="auto"/>
                <w:lang w:val="en-US" w:eastAsia="zh-CN"/>
              </w:rPr>
              <w:t>4</w:t>
            </w:r>
          </w:p>
        </w:tc>
        <w:tc>
          <w:tcPr>
            <w:tcW w:w="800" w:type="dxa"/>
            <w:noWrap w:val="0"/>
            <w:vAlign w:val="center"/>
          </w:tcPr>
          <w:p>
            <w:pPr>
              <w:jc w:val="center"/>
              <w:rPr>
                <w:rFonts w:hint="eastAsia" w:ascii="宋体" w:hAnsi="宋体"/>
                <w:color w:val="auto"/>
                <w:lang w:val="en-US" w:eastAsia="zh-CN"/>
              </w:rPr>
            </w:pPr>
            <w:r>
              <w:rPr>
                <w:rFonts w:hint="eastAsia" w:ascii="宋体" w:hAnsi="宋体"/>
                <w:color w:val="auto"/>
                <w:lang w:val="en-US" w:eastAsia="zh-CN"/>
              </w:rPr>
              <w:t>服务承诺</w:t>
            </w:r>
          </w:p>
        </w:tc>
        <w:tc>
          <w:tcPr>
            <w:tcW w:w="717" w:type="dxa"/>
            <w:noWrap w:val="0"/>
            <w:vAlign w:val="center"/>
          </w:tcPr>
          <w:p>
            <w:pPr>
              <w:jc w:val="center"/>
              <w:rPr>
                <w:rFonts w:hint="default" w:ascii="宋体" w:hAnsi="宋体"/>
                <w:color w:val="auto"/>
                <w:lang w:val="en-US" w:eastAsia="zh-CN"/>
              </w:rPr>
            </w:pPr>
            <w:r>
              <w:rPr>
                <w:rFonts w:hint="eastAsia" w:ascii="宋体" w:hAnsi="宋体"/>
                <w:color w:val="auto"/>
                <w:lang w:val="en-US" w:eastAsia="zh-CN"/>
              </w:rPr>
              <w:t>4%</w:t>
            </w:r>
          </w:p>
        </w:tc>
        <w:tc>
          <w:tcPr>
            <w:tcW w:w="4338" w:type="dxa"/>
            <w:noWrap w:val="0"/>
            <w:vAlign w:val="center"/>
          </w:tcPr>
          <w:p>
            <w:pPr>
              <w:rPr>
                <w:rFonts w:hint="eastAsia" w:ascii="宋体" w:hAnsi="宋体"/>
                <w:color w:val="auto"/>
              </w:rPr>
            </w:pPr>
            <w:r>
              <w:rPr>
                <w:rFonts w:hint="eastAsia" w:ascii="宋体" w:hAnsi="宋体"/>
                <w:color w:val="auto"/>
              </w:rPr>
              <w:t>根据供应商提供相关的服务承诺（包括服务响应时间、本地化服务等能为采购人提供更优质的服务的承诺），</w:t>
            </w:r>
            <w:r>
              <w:rPr>
                <w:rFonts w:hint="eastAsia" w:ascii="宋体" w:hAnsi="宋体"/>
                <w:color w:val="auto"/>
                <w:lang w:val="en-US" w:eastAsia="zh-CN"/>
              </w:rPr>
              <w:t>完全满足得4分，</w:t>
            </w:r>
            <w:r>
              <w:rPr>
                <w:rFonts w:hint="eastAsia" w:ascii="宋体" w:hAnsi="宋体"/>
                <w:color w:val="auto"/>
              </w:rPr>
              <w:t>以上方面内容中每有一项缺项或与项目实际情况不符或未达到项目需求的扣</w:t>
            </w:r>
            <w:r>
              <w:rPr>
                <w:rFonts w:hint="eastAsia" w:ascii="宋体" w:hAnsi="宋体"/>
                <w:color w:val="auto"/>
                <w:lang w:val="en-US" w:eastAsia="zh-CN"/>
              </w:rPr>
              <w:t>2</w:t>
            </w:r>
            <w:r>
              <w:rPr>
                <w:rFonts w:hint="eastAsia" w:ascii="宋体" w:hAnsi="宋体"/>
                <w:color w:val="auto"/>
              </w:rPr>
              <w:t>分，扣完为止。</w:t>
            </w:r>
          </w:p>
        </w:tc>
        <w:tc>
          <w:tcPr>
            <w:tcW w:w="1006" w:type="dxa"/>
            <w:noWrap w:val="0"/>
            <w:vAlign w:val="center"/>
          </w:tcPr>
          <w:p>
            <w:pPr>
              <w:jc w:val="center"/>
              <w:rPr>
                <w:rFonts w:hint="eastAsia" w:ascii="宋体" w:hAnsi="宋体" w:eastAsia="宋体"/>
                <w:color w:val="auto"/>
                <w:sz w:val="24"/>
                <w:szCs w:val="24"/>
                <w:lang w:val="en-US" w:eastAsia="zh-CN" w:bidi="ar-SA"/>
              </w:rPr>
            </w:pPr>
            <w:r>
              <w:rPr>
                <w:rFonts w:hint="eastAsia" w:ascii="宋体" w:hAnsi="宋体"/>
                <w:color w:val="auto"/>
                <w:lang w:val="en-US" w:eastAsia="zh-CN"/>
              </w:rPr>
              <w:t>4</w:t>
            </w:r>
          </w:p>
        </w:tc>
        <w:tc>
          <w:tcPr>
            <w:tcW w:w="1857" w:type="dxa"/>
            <w:noWrap w:val="0"/>
            <w:vAlign w:val="center"/>
          </w:tcPr>
          <w:p>
            <w:pPr>
              <w:jc w:val="center"/>
              <w:rPr>
                <w:rFonts w:hint="eastAsia" w:ascii="宋体" w:hAnsi="宋体" w:eastAsia="宋体" w:cs="宋体"/>
                <w:color w:val="auto"/>
                <w:sz w:val="24"/>
                <w:szCs w:val="24"/>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0" w:hRule="atLeast"/>
          <w:jc w:val="center"/>
        </w:trPr>
        <w:tc>
          <w:tcPr>
            <w:tcW w:w="483" w:type="dxa"/>
            <w:noWrap w:val="0"/>
            <w:vAlign w:val="center"/>
          </w:tcPr>
          <w:p>
            <w:pPr>
              <w:jc w:val="center"/>
              <w:rPr>
                <w:rFonts w:hint="default" w:ascii="宋体" w:hAnsi="宋体" w:cs="宋体"/>
                <w:color w:val="auto"/>
                <w:lang w:val="en-US" w:eastAsia="zh-CN"/>
              </w:rPr>
            </w:pPr>
            <w:r>
              <w:rPr>
                <w:rFonts w:hint="eastAsia" w:ascii="宋体" w:hAnsi="宋体" w:cs="宋体"/>
                <w:color w:val="auto"/>
                <w:lang w:val="en-US" w:eastAsia="zh-CN"/>
              </w:rPr>
              <w:t>5</w:t>
            </w:r>
          </w:p>
        </w:tc>
        <w:tc>
          <w:tcPr>
            <w:tcW w:w="800" w:type="dxa"/>
            <w:noWrap w:val="0"/>
            <w:vAlign w:val="center"/>
          </w:tcPr>
          <w:p>
            <w:pPr>
              <w:jc w:val="center"/>
              <w:rPr>
                <w:rFonts w:hint="eastAsia" w:ascii="宋体" w:hAnsi="宋体"/>
                <w:color w:val="auto"/>
                <w:lang w:val="en-US" w:eastAsia="zh-CN"/>
              </w:rPr>
            </w:pPr>
            <w:r>
              <w:rPr>
                <w:rFonts w:hint="eastAsia" w:ascii="宋体" w:hAnsi="宋体"/>
                <w:color w:val="auto"/>
                <w:lang w:val="en-US" w:eastAsia="zh-CN"/>
              </w:rPr>
              <w:t>服务方案</w:t>
            </w:r>
          </w:p>
        </w:tc>
        <w:tc>
          <w:tcPr>
            <w:tcW w:w="717" w:type="dxa"/>
            <w:noWrap w:val="0"/>
            <w:vAlign w:val="center"/>
          </w:tcPr>
          <w:p>
            <w:pPr>
              <w:jc w:val="center"/>
              <w:rPr>
                <w:rFonts w:hint="default" w:ascii="宋体" w:hAnsi="宋体"/>
                <w:color w:val="auto"/>
                <w:lang w:val="en-US" w:eastAsia="zh-CN"/>
              </w:rPr>
            </w:pPr>
            <w:r>
              <w:rPr>
                <w:rFonts w:hint="eastAsia" w:ascii="宋体" w:hAnsi="宋体"/>
                <w:color w:val="auto"/>
                <w:lang w:val="en-US" w:eastAsia="zh-CN"/>
              </w:rPr>
              <w:t>36%</w:t>
            </w:r>
          </w:p>
        </w:tc>
        <w:tc>
          <w:tcPr>
            <w:tcW w:w="4338" w:type="dxa"/>
            <w:noWrap w:val="0"/>
            <w:vAlign w:val="center"/>
          </w:tcPr>
          <w:p>
            <w:pPr>
              <w:pStyle w:val="2"/>
              <w:rPr>
                <w:rFonts w:hint="eastAsia"/>
                <w:color w:val="auto"/>
                <w:lang w:val="en-US" w:eastAsia="zh-CN"/>
              </w:rPr>
            </w:pPr>
            <w:r>
              <w:rPr>
                <w:rFonts w:hint="eastAsia"/>
                <w:color w:val="auto"/>
                <w:lang w:val="en-US" w:eastAsia="zh-CN"/>
              </w:rPr>
              <w:t>根据供应商制订的审计服务方案进行综合评分，包含但不限于1、审计目标；2、审计范围和内容；3、审计重、难点分析及措施；4、审计方法；5、审计人员配置及分工；6、审计工作步骤；7、审计进度安排；8、审计质量控制措施；9、审核过程风险防控。项目理解透彻、完全符合项目要求的得36分，以上每缺少一项扣4分，每有一项不满足、响应不清晰、不明确或不合理的扣2分（指项目名称错误、服务地点与本项目不一致、项目内容描述错误方案内容不适用本项目实际情况或与本项目无关），扣完为止。</w:t>
            </w:r>
          </w:p>
          <w:p>
            <w:pPr>
              <w:rPr>
                <w:rFonts w:hint="default"/>
                <w:color w:val="auto"/>
                <w:lang w:val="en-US" w:eastAsia="zh-CN"/>
              </w:rPr>
            </w:pPr>
            <w:r>
              <w:rPr>
                <w:rFonts w:hint="eastAsia"/>
                <w:color w:val="auto"/>
                <w:lang w:val="en-US" w:eastAsia="zh-CN"/>
              </w:rPr>
              <w:t>注：应根据服务事项和要求的不同，出具2套服务方案</w:t>
            </w:r>
          </w:p>
        </w:tc>
        <w:tc>
          <w:tcPr>
            <w:tcW w:w="1006" w:type="dxa"/>
            <w:noWrap w:val="0"/>
            <w:vAlign w:val="center"/>
          </w:tcPr>
          <w:p>
            <w:pPr>
              <w:jc w:val="center"/>
              <w:rPr>
                <w:rFonts w:hint="default" w:ascii="宋体" w:hAnsi="宋体" w:eastAsia="宋体"/>
                <w:color w:val="auto"/>
                <w:sz w:val="24"/>
                <w:szCs w:val="24"/>
                <w:lang w:val="en-US" w:eastAsia="zh-CN" w:bidi="ar-SA"/>
              </w:rPr>
            </w:pPr>
            <w:r>
              <w:rPr>
                <w:rFonts w:hint="eastAsia" w:ascii="宋体" w:hAnsi="宋体" w:eastAsia="宋体"/>
                <w:color w:val="auto"/>
                <w:sz w:val="24"/>
                <w:szCs w:val="24"/>
                <w:lang w:val="en-US" w:eastAsia="zh-CN" w:bidi="ar-SA"/>
              </w:rPr>
              <w:t>36</w:t>
            </w:r>
          </w:p>
        </w:tc>
        <w:tc>
          <w:tcPr>
            <w:tcW w:w="1857" w:type="dxa"/>
            <w:noWrap w:val="0"/>
            <w:vAlign w:val="center"/>
          </w:tcPr>
          <w:p>
            <w:pPr>
              <w:jc w:val="both"/>
              <w:rPr>
                <w:rFonts w:hint="eastAsia" w:ascii="宋体" w:hAnsi="宋体" w:eastAsia="宋体" w:cs="宋体"/>
                <w:color w:val="auto"/>
                <w:sz w:val="24"/>
                <w:szCs w:val="24"/>
                <w:lang w:val="en-US" w:eastAsia="zh-CN" w:bidi="ar-SA"/>
              </w:rPr>
            </w:pP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default" w:ascii="黑体" w:hAnsi="黑体" w:eastAsia="黑体" w:cs="黑体"/>
          <w:color w:val="auto"/>
          <w:spacing w:val="-5"/>
          <w:sz w:val="32"/>
          <w:szCs w:val="32"/>
          <w:lang w:val="en-US" w:eastAsia="zh-CN"/>
        </w:rPr>
      </w:pP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ind w:left="20"/>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kNDk1NjI2MjY2MzJiNGMwOWM1MTJkN2ZiNDYxYmEifQ=="/>
  </w:docVars>
  <w:rsids>
    <w:rsidRoot w:val="00000000"/>
    <w:rsid w:val="00C36B5B"/>
    <w:rsid w:val="01A04F18"/>
    <w:rsid w:val="02354375"/>
    <w:rsid w:val="02505D3D"/>
    <w:rsid w:val="05D02515"/>
    <w:rsid w:val="069114AA"/>
    <w:rsid w:val="07195D48"/>
    <w:rsid w:val="07B47AAB"/>
    <w:rsid w:val="07BF6BD2"/>
    <w:rsid w:val="08951CE3"/>
    <w:rsid w:val="0B4D1E43"/>
    <w:rsid w:val="0BD17250"/>
    <w:rsid w:val="0C410340"/>
    <w:rsid w:val="0CCF34C3"/>
    <w:rsid w:val="0E533824"/>
    <w:rsid w:val="0E611832"/>
    <w:rsid w:val="0F1F4B5E"/>
    <w:rsid w:val="0FF06A16"/>
    <w:rsid w:val="1016512C"/>
    <w:rsid w:val="105E3912"/>
    <w:rsid w:val="11C639E0"/>
    <w:rsid w:val="12761F20"/>
    <w:rsid w:val="128D655F"/>
    <w:rsid w:val="13487F20"/>
    <w:rsid w:val="13F53078"/>
    <w:rsid w:val="157D0378"/>
    <w:rsid w:val="15D277F1"/>
    <w:rsid w:val="15D53161"/>
    <w:rsid w:val="175B7DAF"/>
    <w:rsid w:val="188869F8"/>
    <w:rsid w:val="19696B66"/>
    <w:rsid w:val="19941B4A"/>
    <w:rsid w:val="19EF21CA"/>
    <w:rsid w:val="1A073B05"/>
    <w:rsid w:val="1A4C1C49"/>
    <w:rsid w:val="1B0E76E6"/>
    <w:rsid w:val="1BB20FD3"/>
    <w:rsid w:val="1BD75223"/>
    <w:rsid w:val="1DCA3975"/>
    <w:rsid w:val="1E042C95"/>
    <w:rsid w:val="1F0009CB"/>
    <w:rsid w:val="1F007102"/>
    <w:rsid w:val="205440C9"/>
    <w:rsid w:val="21495306"/>
    <w:rsid w:val="21D20555"/>
    <w:rsid w:val="22B81E40"/>
    <w:rsid w:val="23B049C6"/>
    <w:rsid w:val="23C562A3"/>
    <w:rsid w:val="23EB5C81"/>
    <w:rsid w:val="24A26904"/>
    <w:rsid w:val="25341CCE"/>
    <w:rsid w:val="25441769"/>
    <w:rsid w:val="261878C0"/>
    <w:rsid w:val="271D04C4"/>
    <w:rsid w:val="278A7DDB"/>
    <w:rsid w:val="27FB47D3"/>
    <w:rsid w:val="286A6F06"/>
    <w:rsid w:val="290C5116"/>
    <w:rsid w:val="2970538A"/>
    <w:rsid w:val="299C090C"/>
    <w:rsid w:val="29F65AB8"/>
    <w:rsid w:val="2A1D07DB"/>
    <w:rsid w:val="2ADB3FBF"/>
    <w:rsid w:val="2ADE7F6A"/>
    <w:rsid w:val="2AE34118"/>
    <w:rsid w:val="2AE47475"/>
    <w:rsid w:val="2B9E675A"/>
    <w:rsid w:val="2BF13CCD"/>
    <w:rsid w:val="2C0374D5"/>
    <w:rsid w:val="2C465182"/>
    <w:rsid w:val="2C640943"/>
    <w:rsid w:val="2CF76C90"/>
    <w:rsid w:val="2D0F08AF"/>
    <w:rsid w:val="2D2E0E15"/>
    <w:rsid w:val="2E1C2CC5"/>
    <w:rsid w:val="2E443BE2"/>
    <w:rsid w:val="2E6011F8"/>
    <w:rsid w:val="2F107AA2"/>
    <w:rsid w:val="2F2918E5"/>
    <w:rsid w:val="2F82303C"/>
    <w:rsid w:val="2FCF0647"/>
    <w:rsid w:val="300F19A2"/>
    <w:rsid w:val="3011220B"/>
    <w:rsid w:val="30492457"/>
    <w:rsid w:val="30497BA0"/>
    <w:rsid w:val="319621A4"/>
    <w:rsid w:val="31BB32A6"/>
    <w:rsid w:val="3207424B"/>
    <w:rsid w:val="32F63054"/>
    <w:rsid w:val="332B21AA"/>
    <w:rsid w:val="341E617C"/>
    <w:rsid w:val="34235B30"/>
    <w:rsid w:val="346E6803"/>
    <w:rsid w:val="347B0F20"/>
    <w:rsid w:val="34E75EE0"/>
    <w:rsid w:val="35D7655C"/>
    <w:rsid w:val="35DD76E3"/>
    <w:rsid w:val="361311BE"/>
    <w:rsid w:val="36584950"/>
    <w:rsid w:val="37021484"/>
    <w:rsid w:val="39D67A87"/>
    <w:rsid w:val="3A195B58"/>
    <w:rsid w:val="3A2B49B3"/>
    <w:rsid w:val="3B05398F"/>
    <w:rsid w:val="3B764645"/>
    <w:rsid w:val="3BF21AC7"/>
    <w:rsid w:val="3D2E27E4"/>
    <w:rsid w:val="3E0855C8"/>
    <w:rsid w:val="3F2F4815"/>
    <w:rsid w:val="3FA02E79"/>
    <w:rsid w:val="4177481D"/>
    <w:rsid w:val="42B316CA"/>
    <w:rsid w:val="432F7565"/>
    <w:rsid w:val="436C38A0"/>
    <w:rsid w:val="440E5216"/>
    <w:rsid w:val="443F1622"/>
    <w:rsid w:val="457E3359"/>
    <w:rsid w:val="46046E51"/>
    <w:rsid w:val="46F54EF7"/>
    <w:rsid w:val="47B12773"/>
    <w:rsid w:val="47DB78B4"/>
    <w:rsid w:val="48FB7D98"/>
    <w:rsid w:val="49DC28C8"/>
    <w:rsid w:val="49E5187B"/>
    <w:rsid w:val="4A0D46AD"/>
    <w:rsid w:val="4A5476D0"/>
    <w:rsid w:val="4A5D6622"/>
    <w:rsid w:val="4A936036"/>
    <w:rsid w:val="4ADC2719"/>
    <w:rsid w:val="4BA1697A"/>
    <w:rsid w:val="4C075D5F"/>
    <w:rsid w:val="4C771ED5"/>
    <w:rsid w:val="4CE70AA9"/>
    <w:rsid w:val="4D206361"/>
    <w:rsid w:val="4D7F4A4F"/>
    <w:rsid w:val="4DF063FC"/>
    <w:rsid w:val="4E7E7FC4"/>
    <w:rsid w:val="4E9D07BB"/>
    <w:rsid w:val="4F176FB9"/>
    <w:rsid w:val="4F6E29CA"/>
    <w:rsid w:val="4FFE2905"/>
    <w:rsid w:val="50791901"/>
    <w:rsid w:val="507B5AB9"/>
    <w:rsid w:val="513601A0"/>
    <w:rsid w:val="53646C0D"/>
    <w:rsid w:val="54124897"/>
    <w:rsid w:val="54513D62"/>
    <w:rsid w:val="554F3D92"/>
    <w:rsid w:val="557C623F"/>
    <w:rsid w:val="56D738C3"/>
    <w:rsid w:val="573706E6"/>
    <w:rsid w:val="57985481"/>
    <w:rsid w:val="57D003BF"/>
    <w:rsid w:val="57D246B9"/>
    <w:rsid w:val="58583035"/>
    <w:rsid w:val="58AE4B70"/>
    <w:rsid w:val="599473B7"/>
    <w:rsid w:val="5A12625C"/>
    <w:rsid w:val="5A2F5135"/>
    <w:rsid w:val="5AB848E0"/>
    <w:rsid w:val="5AD62C9E"/>
    <w:rsid w:val="5BD26DC8"/>
    <w:rsid w:val="5C183621"/>
    <w:rsid w:val="5C613798"/>
    <w:rsid w:val="5D06569C"/>
    <w:rsid w:val="5D7D7781"/>
    <w:rsid w:val="5DBA480B"/>
    <w:rsid w:val="5DEC6C70"/>
    <w:rsid w:val="5E3361F2"/>
    <w:rsid w:val="5E4D7439"/>
    <w:rsid w:val="5EBE0F83"/>
    <w:rsid w:val="5FA72BA8"/>
    <w:rsid w:val="63327F3A"/>
    <w:rsid w:val="638F5AFF"/>
    <w:rsid w:val="63B33121"/>
    <w:rsid w:val="666C45FA"/>
    <w:rsid w:val="66D44ADE"/>
    <w:rsid w:val="672917D8"/>
    <w:rsid w:val="67A8708B"/>
    <w:rsid w:val="6870599E"/>
    <w:rsid w:val="687C4343"/>
    <w:rsid w:val="68C553CC"/>
    <w:rsid w:val="6A584EBD"/>
    <w:rsid w:val="6A6D6639"/>
    <w:rsid w:val="6AEF51FA"/>
    <w:rsid w:val="6B0C206C"/>
    <w:rsid w:val="6B623CC4"/>
    <w:rsid w:val="6C7C492C"/>
    <w:rsid w:val="6D5916E6"/>
    <w:rsid w:val="6DBC05C0"/>
    <w:rsid w:val="6DC347C2"/>
    <w:rsid w:val="6DC65610"/>
    <w:rsid w:val="6E681234"/>
    <w:rsid w:val="6E9D6DF9"/>
    <w:rsid w:val="6F571666"/>
    <w:rsid w:val="6FE44305"/>
    <w:rsid w:val="70A369A8"/>
    <w:rsid w:val="70B13FFF"/>
    <w:rsid w:val="71EB31D7"/>
    <w:rsid w:val="722C6DDA"/>
    <w:rsid w:val="730B4C41"/>
    <w:rsid w:val="735544D5"/>
    <w:rsid w:val="7367074C"/>
    <w:rsid w:val="745F6DB9"/>
    <w:rsid w:val="747969DB"/>
    <w:rsid w:val="748051BB"/>
    <w:rsid w:val="74CC6652"/>
    <w:rsid w:val="75740F62"/>
    <w:rsid w:val="76261D92"/>
    <w:rsid w:val="764D5571"/>
    <w:rsid w:val="7723705A"/>
    <w:rsid w:val="774533D9"/>
    <w:rsid w:val="776D054A"/>
    <w:rsid w:val="77962C6D"/>
    <w:rsid w:val="77983CC0"/>
    <w:rsid w:val="786F1BF9"/>
    <w:rsid w:val="7AD75411"/>
    <w:rsid w:val="7C013D37"/>
    <w:rsid w:val="7C87349D"/>
    <w:rsid w:val="7C991510"/>
    <w:rsid w:val="7CEA1903"/>
    <w:rsid w:val="7D517102"/>
    <w:rsid w:val="7E911308"/>
    <w:rsid w:val="7F02192B"/>
    <w:rsid w:val="7F0D1D41"/>
    <w:rsid w:val="7F433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3078</Words>
  <Characters>3344</Characters>
  <Lines>0</Lines>
  <Paragraphs>0</Paragraphs>
  <TotalTime>90</TotalTime>
  <ScaleCrop>false</ScaleCrop>
  <LinksUpToDate>false</LinksUpToDate>
  <CharactersWithSpaces>3400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2024-05-10T01:47:00Z</dcterms:created>
  <dc:creator>HP</dc:creator>
  <cp:lastModifiedBy>纪检处机要员</cp:lastModifiedBy>
  <cp:lastPrinted>2024-06-04T03:03:00Z</cp:lastPrinted>
  <dcterms:modified xsi:type="dcterms:W3CDTF">2025-04-01T01:32:34Z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6850E88ED9894B5F8D35B7FBD1C164E7_13</vt:lpwstr>
  </property>
  <property fmtid="{D5CDD505-2E9C-101B-9397-08002B2CF9AE}" pid="4" name="KSOTemplateDocerSaveRecord">
    <vt:lpwstr>eyJoZGlkIjoiMThmNmNjMjMxMTA0NzFhMTA3N2RkNzcwY2YwY2JiZDMiLCJ1c2VySWQiOiIxMjc2ODA4NjAzIn0=</vt:lpwstr>
  </property>
</Properties>
</file>