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leftChars="0" w:firstLine="0" w:firstLineChars="0"/>
        <w:rPr>
          <w:rFonts w:hint="default" w:ascii="方正小标宋_GBK" w:hAnsi="方正小标宋_GBK" w:eastAsia="方正小标宋_GBK" w:cs="方正小标宋_GBK"/>
          <w:b/>
          <w:bCs/>
          <w:color w:val="auto"/>
          <w:kern w:val="2"/>
          <w:sz w:val="32"/>
          <w:szCs w:val="32"/>
          <w:highlight w:val="none"/>
          <w:lang w:val="en-US" w:eastAsia="zh-CN" w:bidi="ar-SA"/>
        </w:rPr>
      </w:pPr>
      <w:r>
        <w:rPr>
          <w:rFonts w:hint="eastAsia" w:ascii="方正小标宋_GBK" w:hAnsi="方正小标宋_GBK" w:eastAsia="方正小标宋_GBK" w:cs="方正小标宋_GBK"/>
          <w:b/>
          <w:bCs/>
          <w:color w:val="auto"/>
          <w:kern w:val="2"/>
          <w:sz w:val="32"/>
          <w:szCs w:val="32"/>
          <w:highlight w:val="none"/>
          <w:lang w:val="en-US" w:eastAsia="zh-CN" w:bidi="ar-SA"/>
        </w:rPr>
        <w:t>附件：</w:t>
      </w:r>
    </w:p>
    <w:p>
      <w:pPr>
        <w:spacing w:line="360" w:lineRule="auto"/>
        <w:jc w:val="center"/>
        <w:rPr>
          <w:rFonts w:hint="eastAsia" w:ascii="方正小标宋_GBK" w:hAnsi="方正小标宋_GBK" w:eastAsia="方正小标宋_GBK" w:cs="方正小标宋_GBK"/>
          <w:b/>
          <w:bCs/>
          <w:color w:val="auto"/>
          <w:sz w:val="32"/>
          <w:szCs w:val="32"/>
          <w:highlight w:val="none"/>
        </w:rPr>
      </w:pPr>
      <w:r>
        <w:rPr>
          <w:rFonts w:hint="eastAsia" w:ascii="方正小标宋_GBK" w:hAnsi="方正小标宋_GBK" w:eastAsia="方正小标宋_GBK" w:cs="方正小标宋_GBK"/>
          <w:b/>
          <w:bCs/>
          <w:color w:val="auto"/>
          <w:sz w:val="32"/>
          <w:szCs w:val="32"/>
          <w:highlight w:val="none"/>
        </w:rPr>
        <w:t>关于“</w:t>
      </w:r>
      <w:r>
        <w:rPr>
          <w:rFonts w:hint="eastAsia" w:ascii="方正小标宋_GBK" w:hAnsi="方正小标宋_GBK" w:eastAsia="方正小标宋_GBK" w:cs="方正小标宋_GBK"/>
          <w:b/>
          <w:bCs/>
          <w:color w:val="auto"/>
          <w:sz w:val="32"/>
          <w:szCs w:val="32"/>
          <w:highlight w:val="none"/>
          <w:lang w:eastAsia="zh-CN"/>
        </w:rPr>
        <w:t>四川体育职业学院2025年车辆租赁采购项目</w:t>
      </w:r>
      <w:r>
        <w:rPr>
          <w:rFonts w:hint="eastAsia" w:ascii="方正小标宋_GBK" w:hAnsi="方正小标宋_GBK" w:eastAsia="方正小标宋_GBK" w:cs="方正小标宋_GBK"/>
          <w:b/>
          <w:bCs/>
          <w:color w:val="auto"/>
          <w:sz w:val="32"/>
          <w:szCs w:val="32"/>
          <w:highlight w:val="none"/>
        </w:rPr>
        <w:t>”的需求调查书</w:t>
      </w:r>
    </w:p>
    <w:p>
      <w:pPr>
        <w:spacing w:line="360" w:lineRule="auto"/>
        <w:jc w:val="center"/>
        <w:rPr>
          <w:rFonts w:ascii="宋体" w:hAnsi="宋体" w:eastAsia="宋体" w:cs="宋体"/>
          <w:b/>
          <w:bCs/>
          <w:color w:val="auto"/>
          <w:sz w:val="32"/>
          <w:szCs w:val="32"/>
          <w:highlight w:val="none"/>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本项目预算金额789.365万元（单价限价，据实结算）。</w:t>
      </w:r>
    </w:p>
    <w:p>
      <w:pPr>
        <w:pStyle w:val="23"/>
        <w:numPr>
          <w:ilvl w:val="0"/>
          <w:numId w:val="0"/>
        </w:numPr>
        <w:spacing w:line="360" w:lineRule="auto"/>
        <w:ind w:leftChars="200"/>
        <w:rPr>
          <w:color w:val="auto"/>
          <w:sz w:val="24"/>
          <w:szCs w:val="24"/>
        </w:rPr>
      </w:pPr>
      <w:r>
        <w:rPr>
          <w:rFonts w:hint="eastAsia" w:ascii="宋体" w:cs="宋体"/>
          <w:color w:val="auto"/>
          <w:spacing w:val="-1"/>
          <w:sz w:val="24"/>
          <w:szCs w:val="24"/>
          <w:lang w:val="en-US" w:eastAsia="zh-CN"/>
        </w:rPr>
        <w:t>一、</w:t>
      </w:r>
      <w:r>
        <w:rPr>
          <w:rFonts w:hint="eastAsia" w:ascii="宋体" w:hAnsi="宋体" w:eastAsia="宋体" w:cs="宋体"/>
          <w:color w:val="auto"/>
          <w:spacing w:val="-1"/>
          <w:sz w:val="24"/>
          <w:szCs w:val="24"/>
        </w:rPr>
        <w:t>★</w:t>
      </w:r>
      <w:r>
        <w:rPr>
          <w:rFonts w:hint="eastAsia"/>
          <w:color w:val="auto"/>
          <w:sz w:val="24"/>
          <w:szCs w:val="24"/>
          <w:lang w:eastAsia="zh-CN"/>
        </w:rPr>
        <w:t>服务内容及模式</w:t>
      </w:r>
    </w:p>
    <w:p>
      <w:pPr>
        <w:pStyle w:val="7"/>
        <w:shd w:val="clear" w:color="auto" w:fill="FFFFFF"/>
        <w:spacing w:line="560" w:lineRule="exact"/>
        <w:ind w:firstLine="630"/>
        <w:rPr>
          <w:rFonts w:hint="eastAsia" w:cs="Times New Roman"/>
          <w:color w:val="auto"/>
          <w:sz w:val="28"/>
          <w:szCs w:val="28"/>
          <w:lang w:val="en-US" w:eastAsia="zh-CN"/>
        </w:rPr>
      </w:pPr>
      <w:r>
        <w:rPr>
          <w:rFonts w:hint="eastAsia" w:cs="Times New Roman"/>
          <w:color w:val="auto"/>
          <w:sz w:val="28"/>
          <w:szCs w:val="28"/>
          <w:lang w:val="en-US" w:eastAsia="zh-CN"/>
        </w:rPr>
        <w:t>1、车辆使用范围：全国（含港澳）。由于今年我院</w:t>
      </w:r>
      <w:bookmarkStart w:id="0" w:name="_GoBack"/>
      <w:bookmarkEnd w:id="0"/>
      <w:r>
        <w:rPr>
          <w:rFonts w:hint="eastAsia" w:cs="Times New Roman"/>
          <w:color w:val="auto"/>
          <w:sz w:val="28"/>
          <w:szCs w:val="28"/>
          <w:lang w:val="en-US" w:eastAsia="zh-CN"/>
        </w:rPr>
        <w:t>将参加第十五届运动会比赛，需要供应商能提供香港、澳门租车服务（包括使用车辆具有两地车牌、司机具有通行证等相关手续要求）。</w:t>
      </w:r>
    </w:p>
    <w:p>
      <w:pPr>
        <w:pStyle w:val="7"/>
        <w:shd w:val="clear" w:color="auto" w:fill="FFFFFF"/>
        <w:spacing w:line="560" w:lineRule="exact"/>
        <w:ind w:firstLine="630"/>
        <w:rPr>
          <w:rFonts w:hint="eastAsia" w:cs="Times New Roman"/>
          <w:color w:val="auto"/>
          <w:sz w:val="28"/>
          <w:szCs w:val="28"/>
          <w:lang w:val="en-US" w:eastAsia="zh-CN"/>
        </w:rPr>
      </w:pPr>
      <w:r>
        <w:rPr>
          <w:rFonts w:hint="eastAsia" w:cs="Times New Roman"/>
          <w:color w:val="auto"/>
          <w:sz w:val="28"/>
          <w:szCs w:val="28"/>
          <w:lang w:val="en-US" w:eastAsia="zh-CN"/>
        </w:rPr>
        <w:t>2、服务要求：供应商提供服务为“人车共派”模式，即供应商须为采购人同时提供出行所需车辆及驾驶人员。</w:t>
      </w:r>
    </w:p>
    <w:p>
      <w:pPr>
        <w:pStyle w:val="7"/>
        <w:shd w:val="clear" w:color="auto" w:fill="FFFFFF"/>
        <w:spacing w:line="560" w:lineRule="exact"/>
        <w:ind w:firstLine="630"/>
        <w:rPr>
          <w:rFonts w:hint="default" w:cs="Times New Roman"/>
          <w:color w:val="auto"/>
          <w:sz w:val="28"/>
          <w:szCs w:val="28"/>
          <w:lang w:val="en-US" w:eastAsia="zh-CN"/>
        </w:rPr>
      </w:pPr>
      <w:r>
        <w:rPr>
          <w:rFonts w:hint="eastAsia" w:cs="Times New Roman"/>
          <w:color w:val="auto"/>
          <w:sz w:val="28"/>
          <w:szCs w:val="28"/>
          <w:lang w:val="en-US" w:eastAsia="zh-CN"/>
        </w:rPr>
        <w:t>3、赁车辆类型最高限价：</w:t>
      </w:r>
    </w:p>
    <w:tbl>
      <w:tblPr>
        <w:tblStyle w:val="9"/>
        <w:tblW w:w="13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186"/>
        <w:gridCol w:w="1792"/>
        <w:gridCol w:w="1725"/>
        <w:gridCol w:w="1845"/>
        <w:gridCol w:w="1680"/>
        <w:gridCol w:w="1680"/>
        <w:gridCol w:w="237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Borders>
              <w:top w:val="single" w:color="auto" w:sz="4" w:space="0"/>
            </w:tcBorders>
            <w:noWrap w:val="0"/>
            <w:vAlign w:val="top"/>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en-US"/>
              </w:rPr>
              <w:t>序号</w:t>
            </w:r>
          </w:p>
        </w:tc>
        <w:tc>
          <w:tcPr>
            <w:tcW w:w="1186" w:type="dxa"/>
            <w:tcBorders>
              <w:top w:val="single" w:color="auto" w:sz="4" w:space="0"/>
            </w:tcBorders>
            <w:noWrap w:val="0"/>
            <w:vAlign w:val="center"/>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en-US"/>
              </w:rPr>
              <w:t>车辆类型</w:t>
            </w:r>
          </w:p>
        </w:tc>
        <w:tc>
          <w:tcPr>
            <w:tcW w:w="1792" w:type="dxa"/>
            <w:tcBorders>
              <w:top w:val="single" w:color="auto" w:sz="4" w:space="0"/>
            </w:tcBorders>
            <w:noWrap w:val="0"/>
            <w:vAlign w:val="top"/>
          </w:tcPr>
          <w:p>
            <w:pPr>
              <w:pStyle w:val="24"/>
              <w:widowControl w:val="0"/>
              <w:numPr>
                <w:ilvl w:val="0"/>
                <w:numId w:val="0"/>
              </w:numPr>
              <w:autoSpaceDE w:val="0"/>
              <w:autoSpaceDN w:val="0"/>
              <w:ind w:left="0" w:leftChars="0"/>
              <w:jc w:val="both"/>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四川省内基本包车费</w:t>
            </w:r>
          </w:p>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（元/辆·天（含 100 公里定额里程））</w:t>
            </w:r>
          </w:p>
        </w:tc>
        <w:tc>
          <w:tcPr>
            <w:tcW w:w="1725" w:type="dxa"/>
            <w:tcBorders>
              <w:top w:val="single" w:color="auto" w:sz="4" w:space="0"/>
            </w:tcBorders>
            <w:noWrap w:val="0"/>
            <w:vAlign w:val="top"/>
          </w:tcPr>
          <w:p>
            <w:pPr>
              <w:pStyle w:val="24"/>
              <w:widowControl w:val="0"/>
              <w:numPr>
                <w:ilvl w:val="0"/>
                <w:numId w:val="0"/>
              </w:numPr>
              <w:autoSpaceDE w:val="0"/>
              <w:autoSpaceDN w:val="0"/>
              <w:ind w:left="0" w:leftChars="0"/>
              <w:jc w:val="both"/>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四川省外基本包车费</w:t>
            </w:r>
          </w:p>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（元/辆·天（含 100 公里定额里程））</w:t>
            </w:r>
          </w:p>
        </w:tc>
        <w:tc>
          <w:tcPr>
            <w:tcW w:w="1845" w:type="dxa"/>
            <w:tcBorders>
              <w:top w:val="single" w:color="auto" w:sz="4" w:space="0"/>
            </w:tcBorders>
            <w:noWrap w:val="0"/>
            <w:vAlign w:val="top"/>
          </w:tcPr>
          <w:p>
            <w:pPr>
              <w:widowControl w:val="0"/>
              <w:numPr>
                <w:ilvl w:val="0"/>
                <w:numId w:val="0"/>
              </w:numPr>
              <w:ind w:left="0" w:leftChars="0"/>
              <w:jc w:val="both"/>
              <w:rPr>
                <w:rFonts w:hint="default"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四川省内单接送（元/辆/趟（含40公里定额里程、2个小时定额时间））</w:t>
            </w:r>
          </w:p>
        </w:tc>
        <w:tc>
          <w:tcPr>
            <w:tcW w:w="1680" w:type="dxa"/>
            <w:tcBorders>
              <w:top w:val="single" w:color="auto" w:sz="4" w:space="0"/>
            </w:tcBorders>
            <w:noWrap w:val="0"/>
            <w:vAlign w:val="top"/>
          </w:tcPr>
          <w:p>
            <w:pPr>
              <w:widowControl w:val="0"/>
              <w:numPr>
                <w:ilvl w:val="0"/>
                <w:numId w:val="0"/>
              </w:numPr>
              <w:ind w:left="0" w:leftChars="0"/>
              <w:jc w:val="both"/>
              <w:rPr>
                <w:rFonts w:hint="default"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四川省内单接送（元/辆/趟（含120公里定额里程、4个小时定额时间））</w:t>
            </w:r>
          </w:p>
        </w:tc>
        <w:tc>
          <w:tcPr>
            <w:tcW w:w="1680" w:type="dxa"/>
            <w:tcBorders>
              <w:top w:val="single" w:color="auto" w:sz="4" w:space="0"/>
            </w:tcBorders>
            <w:noWrap w:val="0"/>
            <w:vAlign w:val="top"/>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四川省外单接送（元/辆/趟（含40公里定额里程、2个小时定额时间））</w:t>
            </w:r>
          </w:p>
        </w:tc>
        <w:tc>
          <w:tcPr>
            <w:tcW w:w="2370" w:type="dxa"/>
            <w:tcBorders>
              <w:top w:val="single" w:color="auto" w:sz="4" w:space="0"/>
            </w:tcBorders>
            <w:noWrap w:val="0"/>
            <w:vAlign w:val="top"/>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vertAlign w:val="baseline"/>
                <w:lang w:val="en-US" w:eastAsia="zh-CN"/>
              </w:rPr>
              <w:t>四川省外单接送（元/辆/趟（含120公里定额里程、4个小时定额时间））</w:t>
            </w:r>
          </w:p>
        </w:tc>
        <w:tc>
          <w:tcPr>
            <w:tcW w:w="1065" w:type="dxa"/>
            <w:tcBorders>
              <w:top w:val="single" w:color="auto" w:sz="4" w:space="0"/>
            </w:tcBorders>
            <w:noWrap w:val="0"/>
            <w:vAlign w:val="top"/>
          </w:tcPr>
          <w:p>
            <w:pPr>
              <w:widowControl w:val="0"/>
              <w:numPr>
                <w:ilvl w:val="0"/>
                <w:numId w:val="0"/>
              </w:numPr>
              <w:ind w:left="0" w:leftChars="0"/>
              <w:jc w:val="distribute"/>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1" w:hRule="atLeast"/>
        </w:trPr>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w:t>
            </w:r>
          </w:p>
        </w:tc>
        <w:tc>
          <w:tcPr>
            <w:tcW w:w="1186" w:type="dxa"/>
            <w:noWrap w:val="0"/>
            <w:vAlign w:val="center"/>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1.8 升及以下排量小轿车（帕萨特、迈腾、凯美瑞</w:t>
            </w:r>
            <w:r>
              <w:rPr>
                <w:rFonts w:hint="eastAsia" w:ascii="仿宋" w:hAnsi="仿宋" w:eastAsia="仿宋" w:cs="仿宋"/>
                <w:b/>
                <w:bCs/>
                <w:color w:val="auto"/>
                <w:sz w:val="24"/>
                <w:szCs w:val="24"/>
                <w:highlight w:val="none"/>
                <w:lang w:eastAsia="en-US"/>
              </w:rPr>
              <w:t>同类型）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800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公里定额里程收费标准：1.2 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900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公里定额里程收费标准：1.2 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1、基本包车费：400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公里定额里程收费标准：1.2 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1、基本包车费：500元/辆·趟（含120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公里定额里程收费标准：1.2 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500</w:t>
            </w:r>
            <w:r>
              <w:rPr>
                <w:rFonts w:hint="eastAsia" w:ascii="仿宋" w:hAnsi="仿宋" w:eastAsia="仿宋" w:cs="仿宋"/>
                <w:color w:val="auto"/>
                <w:sz w:val="24"/>
                <w:szCs w:val="24"/>
                <w:highlight w:val="none"/>
                <w:lang w:val="en-US" w:eastAsia="zh-CN"/>
              </w:rPr>
              <w:t>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公里定额里程收费标准：1.2 元/公里</w:t>
            </w:r>
          </w:p>
          <w:p>
            <w:pPr>
              <w:pStyle w:val="25"/>
              <w:widowControl w:val="0"/>
              <w:numPr>
                <w:ilvl w:val="0"/>
                <w:numId w:val="0"/>
              </w:numPr>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1、基本包车费：</w:t>
            </w:r>
          </w:p>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default" w:ascii="仿宋" w:hAnsi="仿宋" w:eastAsia="仿宋" w:cs="仿宋"/>
                <w:color w:val="auto"/>
                <w:sz w:val="24"/>
                <w:szCs w:val="24"/>
                <w:highlight w:val="none"/>
                <w:lang w:val="en-US" w:eastAsia="zh-CN"/>
              </w:rPr>
              <w:t>600</w:t>
            </w:r>
            <w:r>
              <w:rPr>
                <w:rFonts w:hint="eastAsia" w:ascii="仿宋" w:hAnsi="仿宋" w:eastAsia="仿宋" w:cs="仿宋"/>
                <w:color w:val="auto"/>
                <w:sz w:val="24"/>
                <w:szCs w:val="24"/>
                <w:highlight w:val="none"/>
                <w:lang w:val="en-US" w:eastAsia="zh-CN"/>
              </w:rPr>
              <w:t>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公里定额里程收费标准：1.2 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w:t>
            </w:r>
          </w:p>
        </w:tc>
        <w:tc>
          <w:tcPr>
            <w:tcW w:w="1186" w:type="dxa"/>
            <w:noWrap w:val="0"/>
            <w:vAlign w:val="center"/>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3.0 升及以下排量 7-9 座商务车（瑞丰商务、别克 GL8、本田奥德赛</w:t>
            </w:r>
            <w:r>
              <w:rPr>
                <w:rFonts w:hint="eastAsia" w:ascii="仿宋" w:hAnsi="仿宋" w:eastAsia="仿宋" w:cs="仿宋"/>
                <w:b/>
                <w:bCs/>
                <w:color w:val="auto"/>
                <w:sz w:val="24"/>
                <w:szCs w:val="24"/>
                <w:highlight w:val="none"/>
                <w:lang w:eastAsia="en-US"/>
              </w:rPr>
              <w:t>同类型）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950</w:t>
            </w:r>
            <w:r>
              <w:rPr>
                <w:rFonts w:hint="eastAsia" w:ascii="仿宋" w:hAnsi="仿宋" w:eastAsia="仿宋" w:cs="仿宋"/>
                <w:color w:val="auto"/>
                <w:kern w:val="0"/>
                <w:sz w:val="24"/>
                <w:szCs w:val="24"/>
                <w:highlight w:val="none"/>
                <w:lang w:val="en-US" w:eastAsia="zh-CN" w:bidi="ar"/>
              </w:rPr>
              <w:t xml:space="preserve"> 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公里定额里程收费标准：1.5元/公里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1050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公里定额里程收费标准：1.5元/公里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1、基本包车费：500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公里定额里程收费标准：1.5元/公里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1、基本包车费：600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公里定额里程收费标准：1.5元/公里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600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公里定额里程收费标准：1.5元/公里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700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公里定额里程收费标准：1.5元/公里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4" w:hRule="atLeast"/>
        </w:trPr>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w:t>
            </w:r>
          </w:p>
        </w:tc>
        <w:tc>
          <w:tcPr>
            <w:tcW w:w="1186" w:type="dxa"/>
            <w:noWrap w:val="0"/>
            <w:vAlign w:val="center"/>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3.5 升及以下排量越野车（普拉多、帕罗杰、</w:t>
            </w:r>
            <w:r>
              <w:rPr>
                <w:rFonts w:hint="eastAsia" w:ascii="仿宋" w:hAnsi="仿宋" w:eastAsia="仿宋" w:cs="仿宋"/>
                <w:b/>
                <w:bCs/>
                <w:color w:val="auto"/>
                <w:sz w:val="24"/>
                <w:szCs w:val="24"/>
                <w:highlight w:val="none"/>
                <w:lang w:eastAsia="en-US"/>
              </w:rPr>
              <w:t>汉兰达同类型）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1050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公里定额里程收费标准：1.8元/公里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1150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公里定额里程收费标准：1.8元/公里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600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公里定额里程收费标准：1.8元/公里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700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公里定额里程收费标准：1.8元/公里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700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公里定额里程收费标准：1.8元/公里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800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公里定额里程收费标准：1.8元/公里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4" w:hRule="atLeast"/>
        </w:trPr>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w:t>
            </w:r>
          </w:p>
        </w:tc>
        <w:tc>
          <w:tcPr>
            <w:tcW w:w="1186" w:type="dxa"/>
            <w:noWrap w:val="0"/>
            <w:vAlign w:val="center"/>
          </w:tcPr>
          <w:p>
            <w:pPr>
              <w:pStyle w:val="24"/>
              <w:widowControl w:val="0"/>
              <w:numPr>
                <w:ilvl w:val="0"/>
                <w:numId w:val="0"/>
              </w:numPr>
              <w:autoSpaceDE w:val="0"/>
              <w:autoSpaceDN w:val="0"/>
              <w:ind w:left="0" w:leftChars="0"/>
              <w:jc w:val="both"/>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13-19 座客车（考斯特、</w:t>
            </w:r>
          </w:p>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宇通、金龙同类型）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1200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超100公里定额里程收费标准：2元/公里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1400</w:t>
            </w:r>
            <w:r>
              <w:rPr>
                <w:rFonts w:hint="eastAsia" w:ascii="仿宋" w:hAnsi="仿宋" w:eastAsia="仿宋" w:cs="仿宋"/>
                <w:color w:val="auto"/>
                <w:kern w:val="0"/>
                <w:sz w:val="24"/>
                <w:szCs w:val="24"/>
                <w:highlight w:val="none"/>
                <w:lang w:val="en-US" w:eastAsia="zh-CN" w:bidi="ar"/>
              </w:rPr>
              <w:t xml:space="preserve"> 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800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900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1000</w:t>
            </w:r>
            <w:r>
              <w:rPr>
                <w:rFonts w:hint="eastAsia" w:ascii="仿宋" w:hAnsi="仿宋" w:eastAsia="仿宋" w:cs="仿宋"/>
                <w:color w:val="auto"/>
                <w:sz w:val="24"/>
                <w:szCs w:val="24"/>
                <w:highlight w:val="none"/>
                <w:lang w:val="en-US" w:eastAsia="zh-CN"/>
              </w:rPr>
              <w:t>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1100</w:t>
            </w:r>
            <w:r>
              <w:rPr>
                <w:rFonts w:hint="eastAsia" w:ascii="仿宋" w:hAnsi="仿宋" w:eastAsia="仿宋" w:cs="仿宋"/>
                <w:color w:val="auto"/>
                <w:sz w:val="24"/>
                <w:szCs w:val="24"/>
                <w:highlight w:val="none"/>
                <w:lang w:val="en-US" w:eastAsia="zh-CN"/>
              </w:rPr>
              <w:t>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w:t>
            </w:r>
          </w:p>
        </w:tc>
        <w:tc>
          <w:tcPr>
            <w:tcW w:w="1186" w:type="dxa"/>
            <w:noWrap w:val="0"/>
            <w:vAlign w:val="center"/>
          </w:tcPr>
          <w:p>
            <w:pPr>
              <w:pStyle w:val="24"/>
              <w:widowControl w:val="0"/>
              <w:numPr>
                <w:ilvl w:val="0"/>
                <w:numId w:val="0"/>
              </w:numPr>
              <w:autoSpaceDE w:val="0"/>
              <w:autoSpaceDN w:val="0"/>
              <w:ind w:left="0" w:leftChars="0"/>
              <w:jc w:val="both"/>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20-30 座客车（宇通、金</w:t>
            </w:r>
          </w:p>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龙、海格同类型）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1500</w:t>
            </w:r>
            <w:r>
              <w:rPr>
                <w:rFonts w:hint="eastAsia" w:ascii="仿宋" w:hAnsi="仿宋" w:eastAsia="仿宋" w:cs="仿宋"/>
                <w:color w:val="auto"/>
                <w:kern w:val="0"/>
                <w:sz w:val="24"/>
                <w:szCs w:val="24"/>
                <w:highlight w:val="none"/>
                <w:lang w:val="en-US" w:eastAsia="zh-CN" w:bidi="ar"/>
              </w:rPr>
              <w:t xml:space="preserve"> 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公里定额里程收费标准：2.2元/公里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1700</w:t>
            </w:r>
            <w:r>
              <w:rPr>
                <w:rFonts w:hint="eastAsia" w:ascii="仿宋" w:hAnsi="仿宋" w:eastAsia="仿宋" w:cs="仿宋"/>
                <w:color w:val="auto"/>
                <w:kern w:val="0"/>
                <w:sz w:val="24"/>
                <w:szCs w:val="24"/>
                <w:highlight w:val="none"/>
                <w:lang w:val="en-US" w:eastAsia="zh-CN" w:bidi="ar"/>
              </w:rPr>
              <w:t xml:space="preserve"> 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公里定额里程收费标准：2.2 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900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公里定额里程收费标准：2.2元/公里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1000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公里定额里程收费标准：2.2元/公里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超4个小时收费标准：100元/小时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1100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公里定额里程收费标准：2.2元/公里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1200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公里定额里程收费标准：2.2元/公里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4" w:hRule="atLeast"/>
        </w:trPr>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6</w:t>
            </w:r>
          </w:p>
        </w:tc>
        <w:tc>
          <w:tcPr>
            <w:tcW w:w="1186" w:type="dxa"/>
            <w:noWrap w:val="0"/>
            <w:vAlign w:val="center"/>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30-39 座客车（宇通、金龙、海格同类型）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1700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公里定额里程收费标准：2.5元/公里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1900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公里定额里程收费标准：2.5 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1100</w:t>
            </w:r>
            <w:r>
              <w:rPr>
                <w:rFonts w:hint="eastAsia" w:ascii="仿宋" w:hAnsi="仿宋" w:eastAsia="仿宋" w:cs="仿宋"/>
                <w:color w:val="auto"/>
                <w:sz w:val="24"/>
                <w:szCs w:val="24"/>
                <w:highlight w:val="none"/>
                <w:lang w:val="en-US" w:eastAsia="zh-CN"/>
              </w:rPr>
              <w:t>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公里定额里程收费标准：2.5元/公里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1200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公里定额里程收费标准：2.5元/公里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1300</w:t>
            </w:r>
            <w:r>
              <w:rPr>
                <w:rFonts w:hint="eastAsia" w:ascii="仿宋" w:hAnsi="仿宋" w:eastAsia="仿宋" w:cs="仿宋"/>
                <w:color w:val="auto"/>
                <w:sz w:val="24"/>
                <w:szCs w:val="24"/>
                <w:highlight w:val="none"/>
                <w:lang w:val="en-US" w:eastAsia="zh-CN"/>
              </w:rPr>
              <w:t>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公里定额里程收费标准：2.5元/公里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1400</w:t>
            </w:r>
            <w:r>
              <w:rPr>
                <w:rFonts w:hint="eastAsia" w:ascii="仿宋" w:hAnsi="仿宋" w:eastAsia="仿宋" w:cs="仿宋"/>
                <w:color w:val="auto"/>
                <w:sz w:val="24"/>
                <w:szCs w:val="24"/>
                <w:highlight w:val="none"/>
                <w:lang w:val="en-US" w:eastAsia="zh-CN"/>
              </w:rPr>
              <w:t>元/辆·趟（含120公里定额里程、4个小时）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公里定额里程收费标准：2.5元/公里 。</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7</w:t>
            </w:r>
          </w:p>
        </w:tc>
        <w:tc>
          <w:tcPr>
            <w:tcW w:w="1186" w:type="dxa"/>
            <w:noWrap w:val="0"/>
            <w:vAlign w:val="center"/>
          </w:tcPr>
          <w:p>
            <w:pPr>
              <w:widowControl w:val="0"/>
              <w:numPr>
                <w:ilvl w:val="0"/>
                <w:numId w:val="0"/>
              </w:numPr>
              <w:ind w:left="0" w:leftChars="0"/>
              <w:jc w:val="both"/>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lang w:eastAsia="zh-CN"/>
              </w:rPr>
              <w:t>40-48座客车（宇通、金海格同龙、类型）</w:t>
            </w:r>
          </w:p>
        </w:tc>
        <w:tc>
          <w:tcPr>
            <w:tcW w:w="1792"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1900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公里定额里程收费标准：2.6元/公里</w:t>
            </w:r>
          </w:p>
        </w:tc>
        <w:tc>
          <w:tcPr>
            <w:tcW w:w="172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1、基本包车费：</w:t>
            </w:r>
            <w:r>
              <w:rPr>
                <w:rFonts w:hint="default" w:ascii="仿宋" w:hAnsi="仿宋" w:eastAsia="仿宋" w:cs="仿宋"/>
                <w:color w:val="auto"/>
                <w:kern w:val="0"/>
                <w:sz w:val="24"/>
                <w:szCs w:val="24"/>
                <w:highlight w:val="none"/>
                <w:lang w:val="en-US" w:eastAsia="zh-CN" w:bidi="ar"/>
              </w:rPr>
              <w:t>2100</w:t>
            </w:r>
            <w:r>
              <w:rPr>
                <w:rFonts w:hint="eastAsia" w:ascii="仿宋" w:hAnsi="仿宋" w:eastAsia="仿宋" w:cs="仿宋"/>
                <w:color w:val="auto"/>
                <w:kern w:val="0"/>
                <w:sz w:val="24"/>
                <w:szCs w:val="24"/>
                <w:highlight w:val="none"/>
                <w:lang w:val="en-US" w:eastAsia="zh-CN" w:bidi="ar"/>
              </w:rPr>
              <w:t>元/辆·天（含100 公里定额里程）</w:t>
            </w:r>
          </w:p>
          <w:p>
            <w:pPr>
              <w:widowControl w:val="0"/>
              <w:numPr>
                <w:ilvl w:val="0"/>
                <w:numId w:val="0"/>
              </w:numPr>
              <w:ind w:left="0" w:leftChars="0"/>
              <w:jc w:val="both"/>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kern w:val="0"/>
                <w:sz w:val="24"/>
                <w:szCs w:val="24"/>
                <w:highlight w:val="none"/>
                <w:lang w:val="en-US" w:eastAsia="zh-CN" w:bidi="ar"/>
              </w:rPr>
              <w:t>超 100 公里定额里程收费标准：2.6 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1300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公里定额里程收费标准：2.6元/公里。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1400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公里定额里程收费标准：2.6元/公里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1500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公里定额里程收费标准：2.6元/公里。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1600</w:t>
            </w:r>
            <w:r>
              <w:rPr>
                <w:rFonts w:hint="eastAsia" w:ascii="仿宋" w:hAnsi="仿宋" w:eastAsia="仿宋" w:cs="仿宋"/>
                <w:color w:val="auto"/>
                <w:sz w:val="24"/>
                <w:szCs w:val="24"/>
                <w:highlight w:val="none"/>
                <w:lang w:val="en-US" w:eastAsia="zh-CN"/>
              </w:rPr>
              <w:t xml:space="preserve"> 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公里定额里程收费标准：2.6元/公里</w:t>
            </w:r>
          </w:p>
          <w:p>
            <w:pPr>
              <w:pStyle w:val="25"/>
              <w:widowControl w:val="0"/>
              <w:numPr>
                <w:ilvl w:val="0"/>
                <w:numId w:val="0"/>
              </w:numPr>
              <w:ind w:left="0" w:leftChars="0"/>
              <w:jc w:val="both"/>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noWrap w:val="0"/>
            <w:vAlign w:val="top"/>
          </w:tcPr>
          <w:p>
            <w:pPr>
              <w:widowControl w:val="0"/>
              <w:numPr>
                <w:ilvl w:val="0"/>
                <w:numId w:val="0"/>
              </w:numPr>
              <w:ind w:left="0" w:leftChars="0"/>
              <w:jc w:val="both"/>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8</w:t>
            </w:r>
          </w:p>
        </w:tc>
        <w:tc>
          <w:tcPr>
            <w:tcW w:w="118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b/>
                <w:bCs/>
                <w:snapToGrid/>
                <w:color w:val="auto"/>
                <w:kern w:val="2"/>
                <w:sz w:val="24"/>
                <w:szCs w:val="24"/>
                <w:highlight w:val="none"/>
                <w:vertAlign w:val="baseline"/>
                <w:lang w:val="en-US" w:eastAsia="zh-CN" w:bidi="ar-SA"/>
              </w:rPr>
            </w:pPr>
            <w:r>
              <w:rPr>
                <w:rFonts w:hint="eastAsia" w:ascii="仿宋" w:hAnsi="仿宋" w:eastAsia="仿宋" w:cs="仿宋"/>
                <w:b/>
                <w:bCs/>
                <w:snapToGrid/>
                <w:color w:val="auto"/>
                <w:kern w:val="2"/>
                <w:sz w:val="24"/>
                <w:szCs w:val="24"/>
                <w:highlight w:val="none"/>
                <w:vertAlign w:val="baseline"/>
                <w:lang w:val="en-US" w:eastAsia="zh-CN"/>
              </w:rPr>
              <w:t>49座及以上客车（宇通、金龙、海格同类型）</w:t>
            </w:r>
          </w:p>
        </w:tc>
        <w:tc>
          <w:tcPr>
            <w:tcW w:w="1792" w:type="dxa"/>
            <w:noWrap w:val="0"/>
            <w:vAlign w:val="center"/>
          </w:tcPr>
          <w:p>
            <w:pPr>
              <w:keepNext w:val="0"/>
              <w:keepLines w:val="0"/>
              <w:widowControl/>
              <w:suppressLineNumbers w:val="0"/>
              <w:jc w:val="left"/>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1、基本包车费：</w:t>
            </w:r>
            <w:r>
              <w:rPr>
                <w:rFonts w:hint="default" w:ascii="仿宋" w:hAnsi="仿宋" w:eastAsia="仿宋" w:cs="仿宋"/>
                <w:snapToGrid w:val="0"/>
                <w:color w:val="auto"/>
                <w:kern w:val="0"/>
                <w:sz w:val="24"/>
                <w:szCs w:val="24"/>
                <w:highlight w:val="none"/>
                <w:lang w:val="en-US" w:eastAsia="zh-CN" w:bidi="ar"/>
              </w:rPr>
              <w:t>2100</w:t>
            </w:r>
            <w:r>
              <w:rPr>
                <w:rFonts w:hint="eastAsia" w:ascii="仿宋" w:hAnsi="仿宋" w:eastAsia="仿宋" w:cs="仿宋"/>
                <w:snapToGrid w:val="0"/>
                <w:color w:val="auto"/>
                <w:kern w:val="0"/>
                <w:sz w:val="24"/>
                <w:szCs w:val="24"/>
                <w:highlight w:val="none"/>
                <w:lang w:val="en-US" w:eastAsia="zh-CN" w:bidi="ar"/>
              </w:rPr>
              <w:t xml:space="preserve">元/辆·天（含100公里定额里程） </w:t>
            </w:r>
          </w:p>
          <w:p>
            <w:pPr>
              <w:keepNext w:val="0"/>
              <w:keepLines w:val="0"/>
              <w:widowControl/>
              <w:suppressLineNumbers w:val="0"/>
              <w:jc w:val="left"/>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snapToGrid w:val="0"/>
                <w:color w:val="auto"/>
                <w:kern w:val="0"/>
                <w:sz w:val="24"/>
                <w:szCs w:val="24"/>
                <w:highlight w:val="none"/>
                <w:lang w:val="en-US" w:eastAsia="zh-CN" w:bidi="ar"/>
              </w:rPr>
              <w:t>单程超100公里定额里程收费标准：2.8元/公里</w:t>
            </w:r>
          </w:p>
        </w:tc>
        <w:tc>
          <w:tcPr>
            <w:tcW w:w="1725" w:type="dxa"/>
            <w:noWrap w:val="0"/>
            <w:vAlign w:val="center"/>
          </w:tcPr>
          <w:p>
            <w:pPr>
              <w:keepNext w:val="0"/>
              <w:keepLines w:val="0"/>
              <w:widowControl/>
              <w:suppressLineNumbers w:val="0"/>
              <w:jc w:val="left"/>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1、基本包车费：</w:t>
            </w:r>
            <w:r>
              <w:rPr>
                <w:rFonts w:hint="default" w:ascii="仿宋" w:hAnsi="仿宋" w:eastAsia="仿宋" w:cs="仿宋"/>
                <w:snapToGrid w:val="0"/>
                <w:color w:val="auto"/>
                <w:kern w:val="0"/>
                <w:sz w:val="24"/>
                <w:szCs w:val="24"/>
                <w:highlight w:val="none"/>
                <w:lang w:val="en-US" w:eastAsia="zh-CN" w:bidi="ar"/>
              </w:rPr>
              <w:t>2300</w:t>
            </w:r>
            <w:r>
              <w:rPr>
                <w:rFonts w:hint="eastAsia" w:ascii="仿宋" w:hAnsi="仿宋" w:eastAsia="仿宋" w:cs="仿宋"/>
                <w:snapToGrid w:val="0"/>
                <w:color w:val="auto"/>
                <w:kern w:val="0"/>
                <w:sz w:val="24"/>
                <w:szCs w:val="24"/>
                <w:highlight w:val="none"/>
                <w:lang w:val="en-US" w:eastAsia="zh-CN" w:bidi="ar"/>
              </w:rPr>
              <w:t xml:space="preserve">元/辆·天（含100公里定额里程） </w:t>
            </w:r>
          </w:p>
          <w:p>
            <w:pPr>
              <w:keepNext w:val="0"/>
              <w:keepLines w:val="0"/>
              <w:widowControl/>
              <w:suppressLineNumbers w:val="0"/>
              <w:jc w:val="left"/>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snapToGrid w:val="0"/>
                <w:color w:val="auto"/>
                <w:kern w:val="0"/>
                <w:sz w:val="24"/>
                <w:szCs w:val="24"/>
                <w:highlight w:val="none"/>
                <w:lang w:val="en-US" w:eastAsia="zh-CN" w:bidi="ar"/>
              </w:rPr>
              <w:t>单程超100公里定额里程收费标准：2.8元/公里</w:t>
            </w:r>
          </w:p>
        </w:tc>
        <w:tc>
          <w:tcPr>
            <w:tcW w:w="1845"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1500</w:t>
            </w:r>
            <w:r>
              <w:rPr>
                <w:rFonts w:hint="eastAsia" w:ascii="仿宋" w:hAnsi="仿宋" w:eastAsia="仿宋" w:cs="仿宋"/>
                <w:color w:val="auto"/>
                <w:sz w:val="24"/>
                <w:szCs w:val="24"/>
                <w:highlight w:val="none"/>
                <w:lang w:val="en-US" w:eastAsia="zh-CN"/>
              </w:rPr>
              <w:t xml:space="preserve"> 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公里定额里程收费标准：2.6元/公里。</w:t>
            </w:r>
          </w:p>
          <w:p>
            <w:pPr>
              <w:pStyle w:val="25"/>
              <w:widowControl w:val="0"/>
              <w:numPr>
                <w:ilvl w:val="0"/>
                <w:numId w:val="0"/>
              </w:numPr>
              <w:ind w:left="0" w:leftChars="0" w:firstLine="0" w:firstLine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超2个小时收费标准：100元/小时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1600</w:t>
            </w:r>
            <w:r>
              <w:rPr>
                <w:rFonts w:hint="eastAsia" w:ascii="仿宋" w:hAnsi="仿宋" w:eastAsia="仿宋" w:cs="仿宋"/>
                <w:color w:val="auto"/>
                <w:sz w:val="24"/>
                <w:szCs w:val="24"/>
                <w:highlight w:val="none"/>
                <w:lang w:val="en-US" w:eastAsia="zh-CN"/>
              </w:rPr>
              <w:t>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公里定额里程收费标准：2.6元/公里</w:t>
            </w:r>
          </w:p>
          <w:p>
            <w:pPr>
              <w:pStyle w:val="25"/>
              <w:widowControl w:val="0"/>
              <w:numPr>
                <w:ilvl w:val="0"/>
                <w:numId w:val="0"/>
              </w:numPr>
              <w:ind w:left="0" w:leftChars="0" w:firstLine="0" w:firstLine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68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1700</w:t>
            </w:r>
            <w:r>
              <w:rPr>
                <w:rFonts w:hint="eastAsia" w:ascii="仿宋" w:hAnsi="仿宋" w:eastAsia="仿宋" w:cs="仿宋"/>
                <w:color w:val="auto"/>
                <w:sz w:val="24"/>
                <w:szCs w:val="24"/>
                <w:highlight w:val="none"/>
                <w:lang w:val="en-US" w:eastAsia="zh-CN"/>
              </w:rPr>
              <w:t>元/辆·趟（含40 公里定额里程、2个小时）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40 公里定额里程收费标准：2.6元/公里。</w:t>
            </w:r>
          </w:p>
          <w:p>
            <w:pPr>
              <w:pStyle w:val="25"/>
              <w:widowControl w:val="0"/>
              <w:numPr>
                <w:ilvl w:val="0"/>
                <w:numId w:val="0"/>
              </w:numPr>
              <w:ind w:left="0" w:leftChars="0" w:firstLine="0" w:firstLineChars="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超2个小时收费标准：100元/小时</w:t>
            </w:r>
          </w:p>
        </w:tc>
        <w:tc>
          <w:tcPr>
            <w:tcW w:w="2370" w:type="dxa"/>
            <w:noWrap w:val="0"/>
            <w:vAlign w:val="top"/>
          </w:tcPr>
          <w:p>
            <w:pPr>
              <w:keepNext w:val="0"/>
              <w:keepLines w:val="0"/>
              <w:widowControl/>
              <w:numPr>
                <w:ilvl w:val="0"/>
                <w:numId w:val="0"/>
              </w:numPr>
              <w:suppressLineNumbers w:val="0"/>
              <w:autoSpaceDE w:val="0"/>
              <w:autoSpaceDN w:val="0"/>
              <w:ind w:left="0" w:leftChars="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1、基本包车费：</w:t>
            </w:r>
            <w:r>
              <w:rPr>
                <w:rFonts w:hint="default" w:ascii="仿宋" w:hAnsi="仿宋" w:eastAsia="仿宋" w:cs="仿宋"/>
                <w:color w:val="auto"/>
                <w:sz w:val="24"/>
                <w:szCs w:val="24"/>
                <w:highlight w:val="none"/>
                <w:lang w:val="en-US" w:eastAsia="zh-CN"/>
              </w:rPr>
              <w:t>1800</w:t>
            </w:r>
            <w:r>
              <w:rPr>
                <w:rFonts w:hint="eastAsia" w:ascii="仿宋" w:hAnsi="仿宋" w:eastAsia="仿宋" w:cs="仿宋"/>
                <w:color w:val="auto"/>
                <w:sz w:val="24"/>
                <w:szCs w:val="24"/>
                <w:highlight w:val="none"/>
                <w:lang w:val="en-US" w:eastAsia="zh-CN"/>
              </w:rPr>
              <w:t>元/辆·趟（含120 公里定额里程、4个小时）</w:t>
            </w:r>
          </w:p>
          <w:p>
            <w:pPr>
              <w:widowControl w:val="0"/>
              <w:numPr>
                <w:ilvl w:val="0"/>
                <w:numId w:val="0"/>
              </w:numPr>
              <w:ind w:left="0" w:leftChars="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宋体" w:hAnsi="宋体" w:eastAsia="宋体" w:cs="宋体"/>
                <w:b/>
                <w:bCs/>
                <w:snapToGrid w:val="0"/>
                <w:color w:val="auto"/>
                <w:kern w:val="0"/>
                <w:sz w:val="24"/>
                <w:szCs w:val="24"/>
                <w:highlight w:val="none"/>
                <w:lang w:val="en-US" w:eastAsia="zh-CN" w:bidi="ar"/>
              </w:rPr>
              <w:t>（不可竞争费用）</w:t>
            </w:r>
            <w:r>
              <w:rPr>
                <w:rFonts w:hint="eastAsia" w:ascii="仿宋" w:hAnsi="仿宋" w:eastAsia="仿宋" w:cs="仿宋"/>
                <w:color w:val="auto"/>
                <w:sz w:val="24"/>
                <w:szCs w:val="24"/>
                <w:highlight w:val="none"/>
                <w:lang w:val="en-US" w:eastAsia="zh-CN"/>
              </w:rPr>
              <w:t>超 120 公里定额里程收费标准：2.6元/公里</w:t>
            </w:r>
          </w:p>
          <w:p>
            <w:pPr>
              <w:pStyle w:val="25"/>
              <w:widowControl w:val="0"/>
              <w:numPr>
                <w:ilvl w:val="0"/>
                <w:numId w:val="0"/>
              </w:numPr>
              <w:ind w:left="0" w:leftChars="0" w:firstLine="0" w:firstLineChars="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超</w:t>
            </w:r>
            <w:r>
              <w:rPr>
                <w:rFonts w:hint="default"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个小时收费标准：100元/小时</w:t>
            </w:r>
          </w:p>
        </w:tc>
        <w:tc>
          <w:tcPr>
            <w:tcW w:w="1065" w:type="dxa"/>
            <w:noWrap w:val="0"/>
            <w:vAlign w:val="top"/>
          </w:tcPr>
          <w:p>
            <w:pPr>
              <w:widowControl w:val="0"/>
              <w:numPr>
                <w:ilvl w:val="0"/>
                <w:numId w:val="0"/>
              </w:numPr>
              <w:ind w:left="0" w:leftChars="0"/>
              <w:jc w:val="distribute"/>
              <w:rPr>
                <w:rFonts w:hint="eastAsia" w:ascii="仿宋" w:hAnsi="仿宋" w:eastAsia="仿宋" w:cs="仿宋"/>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75" w:type="dxa"/>
            <w:gridSpan w:val="9"/>
            <w:noWrap w:val="0"/>
            <w:vAlign w:val="top"/>
          </w:tcPr>
          <w:p>
            <w:pPr>
              <w:keepNext w:val="0"/>
              <w:keepLines w:val="0"/>
              <w:widowControl/>
              <w:suppressLineNumbers w:val="0"/>
              <w:ind w:firstLine="482" w:firstLineChars="200"/>
              <w:jc w:val="left"/>
              <w:rPr>
                <w:rFonts w:hint="eastAsia" w:ascii="仿宋" w:hAnsi="仿宋" w:eastAsia="仿宋" w:cs="仿宋"/>
                <w:color w:val="auto"/>
                <w:sz w:val="24"/>
                <w:szCs w:val="24"/>
                <w:highlight w:val="none"/>
                <w:vertAlign w:val="baseline"/>
              </w:rPr>
            </w:pPr>
            <w:r>
              <w:rPr>
                <w:rFonts w:hint="eastAsia" w:ascii="仿宋" w:hAnsi="仿宋" w:eastAsia="仿宋" w:cs="仿宋"/>
                <w:b/>
                <w:bCs/>
                <w:color w:val="auto"/>
                <w:sz w:val="24"/>
                <w:szCs w:val="24"/>
                <w:highlight w:val="none"/>
                <w:lang w:val="en-US" w:eastAsia="zh-CN"/>
              </w:rPr>
              <w:t>注：上述表中只有基本包车费属于可竞争费用，超公里费用为不可竞争费用，供应商必须完全响应。</w:t>
            </w:r>
          </w:p>
        </w:tc>
      </w:tr>
    </w:tbl>
    <w:p>
      <w:pPr>
        <w:pStyle w:val="7"/>
        <w:widowControl/>
        <w:numPr>
          <w:ilvl w:val="0"/>
          <w:numId w:val="0"/>
        </w:numPr>
        <w:shd w:val="clear" w:color="auto" w:fill="FFFFFF"/>
        <w:spacing w:line="560" w:lineRule="exact"/>
        <w:jc w:val="left"/>
        <w:rPr>
          <w:rFonts w:hint="eastAsia" w:cs="Times New Roman"/>
          <w:color w:val="auto"/>
          <w:sz w:val="28"/>
          <w:szCs w:val="28"/>
          <w:lang w:val="en-US" w:eastAsia="zh-CN"/>
        </w:rPr>
      </w:pPr>
    </w:p>
    <w:p>
      <w:pPr>
        <w:pStyle w:val="7"/>
        <w:widowControl/>
        <w:numPr>
          <w:ilvl w:val="0"/>
          <w:numId w:val="0"/>
        </w:numPr>
        <w:shd w:val="clear" w:color="auto" w:fill="FFFFFF"/>
        <w:spacing w:line="560" w:lineRule="exact"/>
        <w:jc w:val="left"/>
        <w:rPr>
          <w:rFonts w:hint="eastAsia" w:cs="Times New Roman"/>
          <w:color w:val="auto"/>
          <w:sz w:val="28"/>
          <w:szCs w:val="28"/>
          <w:lang w:val="en-US" w:eastAsia="zh-CN"/>
        </w:rPr>
      </w:pPr>
    </w:p>
    <w:p>
      <w:pPr>
        <w:pStyle w:val="7"/>
        <w:widowControl/>
        <w:numPr>
          <w:ilvl w:val="0"/>
          <w:numId w:val="0"/>
        </w:numPr>
        <w:shd w:val="clear" w:color="auto" w:fill="FFFFFF"/>
        <w:spacing w:line="560" w:lineRule="exact"/>
        <w:jc w:val="left"/>
        <w:rPr>
          <w:rFonts w:hint="eastAsia" w:cs="Times New Roman"/>
          <w:color w:val="auto"/>
          <w:sz w:val="28"/>
          <w:szCs w:val="28"/>
          <w:lang w:val="en-US" w:eastAsia="zh-CN"/>
        </w:rPr>
      </w:pPr>
    </w:p>
    <w:p>
      <w:pPr>
        <w:pStyle w:val="7"/>
        <w:widowControl/>
        <w:numPr>
          <w:ilvl w:val="0"/>
          <w:numId w:val="0"/>
        </w:numPr>
        <w:shd w:val="clear" w:color="auto" w:fill="FFFFFF"/>
        <w:spacing w:line="560" w:lineRule="exact"/>
        <w:jc w:val="left"/>
        <w:rPr>
          <w:rFonts w:hint="eastAsia" w:cs="Times New Roman"/>
          <w:color w:val="auto"/>
          <w:sz w:val="28"/>
          <w:szCs w:val="28"/>
          <w:lang w:val="en-US" w:eastAsia="zh-CN"/>
        </w:rPr>
        <w:sectPr>
          <w:pgSz w:w="16838" w:h="11906" w:orient="landscape"/>
          <w:pgMar w:top="1800" w:right="1440" w:bottom="1800" w:left="1440" w:header="851" w:footer="992" w:gutter="0"/>
          <w:cols w:space="425" w:num="1"/>
          <w:docGrid w:type="lines" w:linePitch="312" w:charSpace="0"/>
        </w:sectPr>
      </w:pPr>
    </w:p>
    <w:p>
      <w:pPr>
        <w:pStyle w:val="7"/>
        <w:widowControl/>
        <w:numPr>
          <w:ilvl w:val="0"/>
          <w:numId w:val="0"/>
        </w:numPr>
        <w:shd w:val="clear" w:color="auto" w:fill="FFFFFF"/>
        <w:spacing w:line="560" w:lineRule="exact"/>
        <w:jc w:val="left"/>
        <w:rPr>
          <w:rFonts w:hint="eastAsia" w:cs="Times New Roman"/>
          <w:color w:val="auto"/>
          <w:sz w:val="28"/>
          <w:szCs w:val="28"/>
          <w:lang w:val="en-US" w:eastAsia="zh-CN"/>
        </w:rPr>
      </w:pPr>
    </w:p>
    <w:p>
      <w:pPr>
        <w:pStyle w:val="7"/>
        <w:widowControl/>
        <w:numPr>
          <w:ilvl w:val="0"/>
          <w:numId w:val="0"/>
        </w:numPr>
        <w:shd w:val="clear" w:color="auto" w:fill="FFFFFF"/>
        <w:spacing w:line="560" w:lineRule="exact"/>
        <w:ind w:firstLine="560" w:firstLineChars="200"/>
        <w:jc w:val="left"/>
        <w:rPr>
          <w:rFonts w:hint="eastAsia" w:cs="Times New Roman"/>
          <w:color w:val="auto"/>
          <w:sz w:val="28"/>
          <w:szCs w:val="28"/>
          <w:lang w:val="en-US" w:eastAsia="zh-CN"/>
        </w:rPr>
      </w:pPr>
      <w:r>
        <w:rPr>
          <w:rFonts w:hint="eastAsia" w:cs="Times New Roman"/>
          <w:color w:val="auto"/>
          <w:sz w:val="28"/>
          <w:szCs w:val="28"/>
          <w:lang w:val="en-US" w:eastAsia="zh-CN"/>
        </w:rPr>
        <w:t>三、车辆要求</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1、供应商为采购人提供的车辆须符合《中华人民共和国道路交通安全法》的相关要求，符合国家车辆安全行驶技术标准并按期审验合格，并为车辆依法投全各类保险，并承担全部保险费用，承租的车辆发生保险事故时，由供应商负责索赔事宜，并承担相应法律责任。</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2、供应商提供服务所用车辆的综合性能、技术等级需符合最新的行业标准和规范，严格遵守国家相关管理制度。</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★3、供应商提供服务所用车辆应年检合格、证照齐全、车况良好、无车身广告，各项设施设备及使用功能正常，近五年未发生过重大交通事故，投入本项目使用的所有车辆车龄均在5年以内。（提供承诺函）</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4、供应商提供服务所用车辆应购买有完备的车辆保险，包括交强险、商业险，其中商业险至少包括以下险种:车损险、车上人员责任险、座位险、第三者责任险(保额不得低于人民币200万元)等，保险费用由供应商自行承担。</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5、供应商提供服务所用车辆的数量能够确保满足采购人合理用车需求，能够满足采购人不定时、不定量使用各类车辆的需求。</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6、供应商提供服务所用车辆在行车前需按照相关规定和要求进行保养、检测、维修，确保采购人正常使用。如发生影响车辆使用的状况时，供应商应第一时间进行车辆救援，并根据采购人要求为采购人更换可正常使用的车辆，保障采购人用车的安全性与及时性。</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7、供应商应确保提供服务所用车辆车容整洁、车况良好，车载空调及相关设备设施功能运行正常。</w:t>
      </w:r>
    </w:p>
    <w:p>
      <w:pPr>
        <w:spacing w:before="4" w:line="360" w:lineRule="auto"/>
        <w:ind w:right="65" w:firstLine="560" w:firstLineChars="200"/>
        <w:rPr>
          <w:rFonts w:hint="default"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8、供应商提供服务所用车辆应配备相应的专用工具包和必要的维修工具、有效的车用灭火器、安全锤、故障车警示标志牌等设施设备，配备备用轮胎。</w:t>
      </w:r>
    </w:p>
    <w:p>
      <w:pPr>
        <w:pStyle w:val="7"/>
        <w:widowControl/>
        <w:numPr>
          <w:ilvl w:val="0"/>
          <w:numId w:val="3"/>
        </w:numPr>
        <w:shd w:val="clear" w:color="auto" w:fill="FFFFFF"/>
        <w:spacing w:line="560" w:lineRule="exact"/>
        <w:ind w:left="560" w:leftChars="0" w:firstLine="0" w:firstLineChars="0"/>
        <w:jc w:val="left"/>
        <w:rPr>
          <w:rFonts w:hint="eastAsia" w:cs="Times New Roman"/>
          <w:color w:val="auto"/>
          <w:sz w:val="28"/>
          <w:szCs w:val="28"/>
          <w:lang w:val="en-US" w:eastAsia="zh-CN"/>
        </w:rPr>
      </w:pPr>
      <w:r>
        <w:rPr>
          <w:rFonts w:hint="eastAsia" w:cs="Times New Roman"/>
          <w:color w:val="auto"/>
          <w:sz w:val="28"/>
          <w:szCs w:val="28"/>
          <w:lang w:val="en-US" w:eastAsia="zh-CN"/>
        </w:rPr>
        <w:t>人员要求</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1、★供应商及其指派的服务人员（含驾驶员和其他随车保障人员，下同）应认真执行国家的法律法规和各项安全方针、政策，严格遵守《中华人民共和国道路交通安全法》《中华人民共和国安全生产法》《四川省生产经营单位安全生产责任规定》和《四川省交通厅关于贯彻落实省政府办公厅四川省道路旅客运输驾驶员安全行为规范的通知》等法律、法规和规范性文件的规定，保证公路客运交通安全，杜绝交通事故的发生。</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2、★供应商应严格要求其指派的服务人员严禁“超速、超载、疲劳”驾车，酒后、服用国家管制的精神药品或者麻醉药品后不得驾车。</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3、★供应商应严格要求其指派的服务人员不得驾驶安全设施不全或者安全技术状况不符合安全技术标准要求或有安全隐患的车辆。</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4、供应商应严格要求其指派的服务人员不开情绪车、不开冒险车、不开急躁车，开车时不接打手持电话、不抽烟、不吃东西、不与他人闲谈。</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5、供应商应严格要求其指派的服务人员做好车辆例行保养和清洁工作，认真填写车辆行驶记录，如实反映行车途中的安全问题，定期检查和更换车内的安全设施、设备。</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6、供应商需保证所提供驾驶员身体健康，不得患有传染性疾病或妨碍安全驾驶的疾病，品行端正，取得具有国家认可的可驾驶对应车型的机动车驾驶证，年龄在50岁以下、驾龄在5年以上，未曾受过刑事处罚，不得有因交通违法行为在一个记分周期驾照被扣满12分或以上的情形。</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7、供应商指派的服务人员应随身携带驾驶证、身份证等必要证件，并保持通讯畅通，按时间要求提前到达指定地点等候。在服务过程中不随意停车、接听电话，不吸烟。为乘车人员开车门、装卸行李，并使用“您好”“再见”等普通话礼貌用语。</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8、供应商指派的服务人员有义务提醒乘车人员保管好并随身携带自己的贵重物品，以免发生丢失。供应商驾驶员有义务检查车门及后备厢是否锁好，以保证乘车人员物品安全。租赁服务结束时，有义务提醒乘车人员携带行李物品。</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9、★供应商指派的服务人员(驾驶人员)应具备相应的资质和能力，服务人员(驾驶人员)在提供服务过程中不得危险驾驶，保证采购方乘车人员的人身及财产安全。(提供承诺函原件，格式自拟)</w:t>
      </w:r>
    </w:p>
    <w:p>
      <w:pPr>
        <w:spacing w:before="4" w:line="360" w:lineRule="auto"/>
        <w:ind w:right="65" w:firstLine="560" w:firstLineChars="200"/>
        <w:rPr>
          <w:rFonts w:hint="default"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10、★供应商对每辆车都需配备一名驾驶员，若一天行车里程超过600公里，每辆车需配备2名驾驶员。</w:t>
      </w:r>
    </w:p>
    <w:p>
      <w:pPr>
        <w:pStyle w:val="7"/>
        <w:widowControl/>
        <w:numPr>
          <w:ilvl w:val="0"/>
          <w:numId w:val="3"/>
        </w:numPr>
        <w:shd w:val="clear" w:color="auto" w:fill="FFFFFF"/>
        <w:spacing w:line="560" w:lineRule="exact"/>
        <w:ind w:left="560" w:leftChars="0" w:firstLine="0" w:firstLineChars="0"/>
        <w:jc w:val="left"/>
        <w:rPr>
          <w:rFonts w:hint="eastAsia" w:cs="Times New Roman"/>
          <w:color w:val="auto"/>
          <w:sz w:val="28"/>
          <w:szCs w:val="28"/>
          <w:lang w:val="en-US" w:eastAsia="zh-CN"/>
        </w:rPr>
      </w:pPr>
      <w:r>
        <w:rPr>
          <w:rFonts w:hint="eastAsia" w:cs="Times New Roman"/>
          <w:color w:val="auto"/>
          <w:sz w:val="28"/>
          <w:szCs w:val="28"/>
          <w:lang w:val="en-US" w:eastAsia="zh-CN"/>
        </w:rPr>
        <w:t>安全责任要求</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1、供应商应认真贯彻执行“安全第一、预防为主”的方针，遵守国家法律法规和安全操作规程，守法经营，落实各级交通主管部门的安全生产管理规定，定期组织驾驶员学习相关安全知识，最大限度地避免道路交通事故的发生。</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2、供应商负责服务过程中的安全工作，是安全第一责任人，对安全工作负总责。</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3、供应商指派的驾驶员必须符合道路营运经营条件，并签订安全责任书，将责任书内容分解到每个工作环节和工作岗位，职责明确，责任分清，层层落实安全责任制。</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4、供应商应积极参与各项安全活动，设立安全专项经费，保证安全工作的开展。</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5、供应商应落实事故处理“四不放过”的原则，即：事故原因不查清不放过；事故责任者没处理不放过；整改措施不落实不放过；教训不吸取不放过。</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6、供应商应建立营运车辆维护、检修工作制度，督促车辆按时做好综合性能检测及二级维护，确保车辆技术状况良好。</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7、供应商在服务过程中所产生的任何交通事故，其全部责任均由供应商承担，采购人不承担责任，若采购人因此遭受损失的，供应商应承担一切赔偿责任。(提供承诺函原件，格式自拟)</w:t>
      </w:r>
    </w:p>
    <w:p>
      <w:pPr>
        <w:pStyle w:val="7"/>
        <w:widowControl/>
        <w:numPr>
          <w:ilvl w:val="0"/>
          <w:numId w:val="0"/>
        </w:numPr>
        <w:shd w:val="clear" w:color="auto" w:fill="FFFFFF"/>
        <w:spacing w:line="560" w:lineRule="exact"/>
        <w:ind w:left="560" w:leftChars="0"/>
        <w:jc w:val="left"/>
        <w:rPr>
          <w:rFonts w:hint="eastAsia" w:cs="Times New Roman"/>
          <w:color w:val="auto"/>
          <w:sz w:val="28"/>
          <w:szCs w:val="28"/>
          <w:lang w:val="en-US" w:eastAsia="zh-CN"/>
        </w:rPr>
      </w:pPr>
      <w:r>
        <w:rPr>
          <w:rFonts w:hint="eastAsia" w:cs="Times New Roman"/>
          <w:color w:val="auto"/>
          <w:sz w:val="28"/>
          <w:szCs w:val="28"/>
          <w:lang w:val="en-US" w:eastAsia="zh-CN"/>
        </w:rPr>
        <w:t>六、考核机制</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1、供应商必须严格履行各项服务承诺，采购人在服务期内将不定期对供应商进行监督检查，发现有违背承诺情形的，将解除合同并追究相关责任。</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2、采购人收到对供应商的投诉，经调查核实为有效投诉的，一次有效投诉给予警告；二次有效投诉给予暂停服务的处罚；三次有效投诉采购人有权无责解除合同。</w:t>
      </w:r>
    </w:p>
    <w:p>
      <w:pPr>
        <w:spacing w:before="4" w:line="360" w:lineRule="auto"/>
        <w:ind w:right="65"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3、若供应商有虚开增加项目、虚开发票、巧立名目弄虚作假等行为的，发现一次给予警告；发现二次给予暂停服务的处罚；发现三次采购人有权无责解除合同。</w:t>
      </w:r>
    </w:p>
    <w:p>
      <w:pPr>
        <w:spacing w:before="4" w:line="360" w:lineRule="auto"/>
        <w:ind w:right="65" w:firstLine="560" w:firstLineChars="200"/>
        <w:rPr>
          <w:rFonts w:hint="default"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4、供应商在履约过程中，如有违反国家法律、法规规定等情形且经查证属实的，发现一次给予警告；发现二次给予暂停服务的处罚；发现三次采购人有权无责解除合同。</w:t>
      </w:r>
    </w:p>
    <w:p>
      <w:pPr>
        <w:pStyle w:val="7"/>
        <w:widowControl/>
        <w:numPr>
          <w:ilvl w:val="0"/>
          <w:numId w:val="0"/>
        </w:numPr>
        <w:shd w:val="clear" w:color="auto" w:fill="FFFFFF"/>
        <w:spacing w:line="560" w:lineRule="exact"/>
        <w:ind w:left="560" w:leftChars="0"/>
        <w:jc w:val="left"/>
        <w:rPr>
          <w:rFonts w:hint="eastAsia" w:cs="Times New Roman"/>
          <w:color w:val="auto"/>
          <w:sz w:val="28"/>
          <w:szCs w:val="28"/>
          <w:lang w:val="en-US" w:eastAsia="zh-CN"/>
        </w:rPr>
      </w:pPr>
      <w:r>
        <w:rPr>
          <w:rFonts w:hint="eastAsia" w:cs="Times New Roman"/>
          <w:color w:val="auto"/>
          <w:sz w:val="28"/>
          <w:szCs w:val="28"/>
          <w:lang w:val="en-US" w:eastAsia="zh-CN"/>
        </w:rPr>
        <w:t>七、商务要求</w:t>
      </w:r>
    </w:p>
    <w:p>
      <w:pPr>
        <w:spacing w:line="360" w:lineRule="auto"/>
        <w:ind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1、合同签订：自中标通知书发出之日起30日内签订。</w:t>
      </w:r>
    </w:p>
    <w:p>
      <w:pPr>
        <w:spacing w:line="360" w:lineRule="auto"/>
        <w:ind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2、服务期限：本次采购服务期限为一年，在合同履约过程中如遇政策调整，本项目及合同即行终止。</w:t>
      </w:r>
    </w:p>
    <w:p>
      <w:pPr>
        <w:spacing w:line="360" w:lineRule="auto"/>
        <w:ind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3、服务时限：接到采购人发出的用车通知后，供应商驾驶员、车辆提前到达现场提供服务。</w:t>
      </w:r>
    </w:p>
    <w:p>
      <w:pPr>
        <w:pStyle w:val="7"/>
        <w:widowControl/>
        <w:numPr>
          <w:ilvl w:val="0"/>
          <w:numId w:val="0"/>
        </w:numPr>
        <w:shd w:val="clear" w:color="auto" w:fill="FFFFFF"/>
        <w:spacing w:line="560" w:lineRule="exact"/>
        <w:ind w:left="560" w:leftChars="0"/>
        <w:jc w:val="left"/>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4、服务地点：采购人指定地点（全国范围）。</w:t>
      </w:r>
    </w:p>
    <w:p>
      <w:pPr>
        <w:pStyle w:val="7"/>
        <w:widowControl/>
        <w:numPr>
          <w:ilvl w:val="0"/>
          <w:numId w:val="0"/>
        </w:numPr>
        <w:shd w:val="clear" w:color="auto" w:fill="FFFFFF"/>
        <w:spacing w:line="560" w:lineRule="exact"/>
        <w:ind w:firstLine="560" w:firstLineChars="200"/>
        <w:jc w:val="left"/>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5、报价要求：供应商需按照采购人的要求提供服务，所报价格为提供车辆租赁服务的包干费用，包括（但不限于）车辆折旧、维修、保养、救援、保险、税金、燃油费、泊车费、洗车费等，驾驶员人工费、社保、住宿费、餐费等，过路过桥费等全部费用。</w:t>
      </w:r>
    </w:p>
    <w:p>
      <w:pPr>
        <w:spacing w:line="360" w:lineRule="auto"/>
        <w:ind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6、费用支付：采购人以银行转账的方式，向中标供应商支付款项。租赁费用在每次服务完成后据实支付。所有款项均不计利息，供应商须向采购人提供发票等付款凭证资料。</w:t>
      </w:r>
    </w:p>
    <w:p>
      <w:pPr>
        <w:spacing w:line="360" w:lineRule="auto"/>
        <w:ind w:firstLine="560" w:firstLineChars="200"/>
        <w:rPr>
          <w:rFonts w:hint="eastAsia" w:ascii="宋体" w:hAnsi="宋体" w:eastAsia="宋体" w:cs="Times New Roman"/>
          <w:color w:val="auto"/>
          <w:kern w:val="0"/>
          <w:sz w:val="28"/>
          <w:szCs w:val="28"/>
          <w:lang w:val="en-US" w:eastAsia="zh-CN" w:bidi="ar-SA"/>
        </w:rPr>
      </w:pPr>
      <w:r>
        <w:rPr>
          <w:rFonts w:hint="eastAsia" w:ascii="宋体" w:hAnsi="宋体" w:eastAsia="宋体" w:cs="Times New Roman"/>
          <w:color w:val="auto"/>
          <w:kern w:val="0"/>
          <w:sz w:val="28"/>
          <w:szCs w:val="28"/>
          <w:lang w:val="en-US" w:eastAsia="zh-CN" w:bidi="ar-SA"/>
        </w:rPr>
        <w:t>7、采购人和中标供应商严格按照政府采购相关法律法规、《财政部关于进一步加强政府采购需求和履约验收管理的指导意见》(财库〔2016〕205号)以及《政府采购需求管理办法》(财库〔2021〕22号)的要求进行验收，以采购文件、供应商投标文件和双方签订的合同为验收依据。</w:t>
      </w:r>
    </w:p>
    <w:p>
      <w:pPr>
        <w:rPr>
          <w:rFonts w:hint="eastAsia" w:ascii="宋体" w:hAnsi="宋体" w:eastAsia="宋体" w:cs="宋体"/>
          <w:b/>
          <w:bCs/>
          <w:color w:val="auto"/>
          <w:sz w:val="24"/>
          <w:szCs w:val="24"/>
          <w:lang w:val="en-US" w:eastAsia="zh-CN"/>
        </w:rPr>
      </w:pPr>
      <w:r>
        <w:rPr>
          <w:rFonts w:hint="eastAsia" w:ascii="宋体" w:hAnsi="宋体" w:eastAsia="宋体" w:cs="Times New Roman"/>
          <w:color w:val="auto"/>
          <w:kern w:val="0"/>
          <w:sz w:val="28"/>
          <w:szCs w:val="28"/>
          <w:lang w:val="en-US" w:eastAsia="zh-CN" w:bidi="ar-SA"/>
        </w:rPr>
        <w:t>8、履约验收时间：供应商提出验收申请之日起30日内组织验收；验收组织方式：自行验收；履约验收程序：一次性验收。</w:t>
      </w:r>
    </w:p>
    <w:p>
      <w:pPr>
        <w:rPr>
          <w:rFonts w:hint="eastAsia"/>
          <w:color w:val="auto"/>
        </w:rPr>
      </w:pPr>
    </w:p>
    <w:p>
      <w:pPr>
        <w:pStyle w:val="2"/>
        <w:rPr>
          <w:rFonts w:hint="eastAsia"/>
        </w:rPr>
      </w:pPr>
      <w:r>
        <w:rPr>
          <w:rFonts w:hint="eastAsia" w:ascii="宋体" w:hAnsi="宋体" w:eastAsia="宋体" w:cs="宋体"/>
          <w:b/>
          <w:bCs/>
          <w:color w:val="auto"/>
          <w:sz w:val="24"/>
          <w:szCs w:val="24"/>
          <w:highlight w:val="none"/>
          <w:lang w:val="en-US" w:eastAsia="zh-CN"/>
        </w:rPr>
        <w:t>注：标注“★”号的参数为实质性要求，若有负偏离视为未实质性满足招标文件要求</w:t>
      </w:r>
      <w:r>
        <w:rPr>
          <w:rFonts w:hint="eastAsia" w:ascii="宋体" w:hAnsi="宋体" w:cs="宋体"/>
          <w:b/>
          <w:bCs/>
          <w:color w:val="auto"/>
          <w:sz w:val="24"/>
          <w:highlight w:val="none"/>
        </w:rPr>
        <w:t>。</w:t>
      </w:r>
    </w:p>
    <w:p>
      <w:pPr>
        <w:rPr>
          <w:color w:val="auto"/>
        </w:rPr>
      </w:pPr>
      <w:r>
        <w:rPr>
          <w:color w:val="auto"/>
        </w:rPr>
        <w:br w:type="page"/>
      </w:r>
    </w:p>
    <w:p>
      <w:pPr>
        <w:widowControl/>
        <w:spacing w:line="360" w:lineRule="auto"/>
        <w:ind w:firstLine="560"/>
        <w:jc w:val="left"/>
        <w:rPr>
          <w:color w:val="auto"/>
        </w:rPr>
      </w:pPr>
    </w:p>
    <w:tbl>
      <w:tblPr>
        <w:tblStyle w:val="9"/>
        <w:tblW w:w="10536"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840"/>
        <w:gridCol w:w="2850"/>
        <w:gridCol w:w="6108"/>
        <w:gridCol w:w="738"/>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四川体育职业学院2025年车辆租赁采购项目</w:t>
            </w:r>
            <w:r>
              <w:rPr>
                <w:rFonts w:hint="eastAsia" w:ascii="宋体" w:hAnsi="宋体" w:eastAsia="宋体" w:cs="宋体"/>
                <w:b/>
                <w:bCs/>
                <w:color w:val="auto"/>
                <w:sz w:val="24"/>
                <w:szCs w:val="24"/>
                <w:highlight w:val="none"/>
              </w:rPr>
              <w:t>需求调查意见表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vAlign w:val="center"/>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850" w:type="dxa"/>
            <w:tcBorders>
              <w:tl2br w:val="nil"/>
              <w:tr2bl w:val="nil"/>
            </w:tcBorders>
            <w:vAlign w:val="center"/>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需求调查内容</w:t>
            </w:r>
          </w:p>
        </w:tc>
        <w:tc>
          <w:tcPr>
            <w:tcW w:w="6108" w:type="dxa"/>
            <w:tcBorders>
              <w:tl2br w:val="nil"/>
              <w:tr2bl w:val="nil"/>
            </w:tcBorders>
            <w:vAlign w:val="center"/>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回复内容</w:t>
            </w:r>
          </w:p>
        </w:tc>
        <w:tc>
          <w:tcPr>
            <w:tcW w:w="738" w:type="dxa"/>
            <w:tcBorders>
              <w:tl2br w:val="nil"/>
              <w:tr2bl w:val="nil"/>
            </w:tcBorders>
            <w:vAlign w:val="center"/>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2850" w:type="dxa"/>
            <w:tcBorders>
              <w:tl2br w:val="nil"/>
              <w:tr2bl w:val="nil"/>
            </w:tcBorders>
          </w:tcPr>
          <w:p>
            <w:pPr>
              <w:spacing w:line="360" w:lineRule="auto"/>
              <w:jc w:val="lef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本次采购服务内容的相关产业发展</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p>
        </w:tc>
        <w:tc>
          <w:tcPr>
            <w:tcW w:w="2850" w:type="dxa"/>
            <w:tcBorders>
              <w:tl2br w:val="nil"/>
              <w:tr2bl w:val="nil"/>
            </w:tcBorders>
          </w:tcPr>
          <w:p>
            <w:pPr>
              <w:spacing w:line="360" w:lineRule="auto"/>
              <w:jc w:val="lef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市场供给</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2850" w:type="dxa"/>
            <w:tcBorders>
              <w:tl2br w:val="nil"/>
              <w:tr2bl w:val="nil"/>
            </w:tcBorders>
          </w:tcPr>
          <w:p>
            <w:pPr>
              <w:spacing w:line="360" w:lineRule="auto"/>
              <w:jc w:val="lef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同类采购项目历史成交信息</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c>
          <w:tcPr>
            <w:tcW w:w="2850" w:type="dxa"/>
            <w:tcBorders>
              <w:tl2br w:val="nil"/>
              <w:tr2bl w:val="nil"/>
            </w:tcBorders>
          </w:tcPr>
          <w:p>
            <w:pPr>
              <w:spacing w:line="360" w:lineRule="auto"/>
              <w:jc w:val="lef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可能涉及的运行维护、升级更新、备品备件、耗材等后续采购</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c>
          <w:tcPr>
            <w:tcW w:w="2850" w:type="dxa"/>
            <w:tcBorders>
              <w:tl2br w:val="nil"/>
              <w:tr2bl w:val="nil"/>
            </w:tcBorders>
          </w:tcPr>
          <w:p>
            <w:pPr>
              <w:spacing w:line="360" w:lineRule="auto"/>
              <w:jc w:val="lef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针对本项目能够提供的具体服务内容</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c>
          <w:tcPr>
            <w:tcW w:w="2850" w:type="dxa"/>
            <w:tcBorders>
              <w:tl2br w:val="nil"/>
              <w:tr2bl w:val="nil"/>
            </w:tcBorders>
          </w:tcPr>
          <w:p>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针对本项目的商务要求，如付款要求、服务人员的配置数量、服务岗位的配置等。</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w:t>
            </w:r>
          </w:p>
        </w:tc>
        <w:tc>
          <w:tcPr>
            <w:tcW w:w="2850" w:type="dxa"/>
            <w:tcBorders>
              <w:tl2br w:val="nil"/>
              <w:tr2bl w:val="nil"/>
            </w:tcBorders>
          </w:tcPr>
          <w:p>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针对本项目的费用构成，包括人员、设备损耗、耗材、软件、系统集成等。</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w:t>
            </w:r>
          </w:p>
        </w:tc>
        <w:tc>
          <w:tcPr>
            <w:tcW w:w="2850" w:type="dxa"/>
            <w:tcBorders>
              <w:tl2br w:val="nil"/>
              <w:tr2bl w:val="nil"/>
            </w:tcBorders>
          </w:tcPr>
          <w:p>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为完成本项目采购需求，需要配备的车辆情况</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9</w:t>
            </w:r>
          </w:p>
        </w:tc>
        <w:tc>
          <w:tcPr>
            <w:tcW w:w="2850" w:type="dxa"/>
            <w:tcBorders>
              <w:tl2br w:val="nil"/>
              <w:tr2bl w:val="nil"/>
            </w:tcBorders>
          </w:tcPr>
          <w:p>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其他建议意见</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10</w:t>
            </w:r>
          </w:p>
        </w:tc>
        <w:tc>
          <w:tcPr>
            <w:tcW w:w="2850" w:type="dxa"/>
            <w:tcBorders>
              <w:tl2br w:val="nil"/>
              <w:tr2bl w:val="nil"/>
            </w:tcBorders>
          </w:tcPr>
          <w:p>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本项目目前的采购需求是否合理</w:t>
            </w:r>
          </w:p>
        </w:tc>
        <w:tc>
          <w:tcPr>
            <w:tcW w:w="6108" w:type="dxa"/>
            <w:tcBorders>
              <w:tl2br w:val="nil"/>
              <w:tr2bl w:val="nil"/>
            </w:tcBorders>
          </w:tcPr>
          <w:p>
            <w:pPr>
              <w:spacing w:line="360" w:lineRule="auto"/>
              <w:jc w:val="center"/>
              <w:rPr>
                <w:rFonts w:ascii="宋体" w:hAnsi="宋体" w:eastAsia="宋体" w:cs="宋体"/>
                <w:b/>
                <w:bCs/>
                <w:color w:val="auto"/>
                <w:sz w:val="24"/>
                <w:szCs w:val="24"/>
                <w:highlight w:val="none"/>
              </w:rPr>
            </w:pPr>
          </w:p>
        </w:tc>
        <w:tc>
          <w:tcPr>
            <w:tcW w:w="738" w:type="dxa"/>
            <w:tcBorders>
              <w:tl2br w:val="nil"/>
              <w:tr2bl w:val="nil"/>
            </w:tcBorders>
          </w:tcPr>
          <w:p>
            <w:pPr>
              <w:spacing w:line="360" w:lineRule="auto"/>
              <w:jc w:val="center"/>
              <w:rPr>
                <w:rFonts w:ascii="宋体" w:hAnsi="宋体" w:eastAsia="宋体" w:cs="宋体"/>
                <w:b/>
                <w:bCs/>
                <w:color w:val="auto"/>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pPr>
              <w:spacing w:line="360" w:lineRule="auto"/>
              <w:ind w:firstLine="5040" w:firstLineChars="2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单位名称（盖章）：</w:t>
            </w:r>
          </w:p>
          <w:p>
            <w:pPr>
              <w:spacing w:line="360" w:lineRule="auto"/>
              <w:jc w:val="righ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     年  月  日</w:t>
            </w:r>
          </w:p>
        </w:tc>
      </w:tr>
    </w:tbl>
    <w:p>
      <w:pPr>
        <w:pStyle w:val="4"/>
        <w:rPr>
          <w:b/>
          <w:bCs/>
          <w:color w:val="auto"/>
          <w:sz w:val="24"/>
          <w:szCs w:val="28"/>
          <w:highlight w:val="none"/>
        </w:rPr>
      </w:pPr>
      <w:r>
        <w:rPr>
          <w:rFonts w:hint="eastAsia"/>
          <w:b/>
          <w:bCs/>
          <w:color w:val="auto"/>
          <w:sz w:val="24"/>
          <w:szCs w:val="28"/>
          <w:highlight w:val="none"/>
        </w:rPr>
        <w:t>注：以上表格格式并不作为强制性要求，可以根据实际内容增加表格内容或增加附件资料。</w:t>
      </w:r>
    </w:p>
    <w:sectPr>
      <w:footerReference r:id="rId3" w:type="default"/>
      <w:pgSz w:w="11906" w:h="16838"/>
      <w:pgMar w:top="1271"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- 6 -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7EBA5"/>
    <w:multiLevelType w:val="singleLevel"/>
    <w:tmpl w:val="8047EBA5"/>
    <w:lvl w:ilvl="0" w:tentative="0">
      <w:start w:val="3"/>
      <w:numFmt w:val="chineseCounting"/>
      <w:suff w:val="nothing"/>
      <w:lvlText w:val="%1、"/>
      <w:lvlJc w:val="left"/>
      <w:pPr>
        <w:ind w:left="560" w:leftChars="0" w:firstLine="0" w:firstLineChars="0"/>
      </w:pPr>
      <w:rPr>
        <w:rFonts w:hint="eastAsia"/>
      </w:rPr>
    </w:lvl>
  </w:abstractNum>
  <w:abstractNum w:abstractNumId="1">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17"/>
      <w:suff w:val="nothing"/>
      <w:lvlText w:val="%4."/>
      <w:lvlJc w:val="left"/>
      <w:pPr>
        <w:tabs>
          <w:tab w:val="left" w:pos="0"/>
        </w:tabs>
        <w:ind w:left="-383" w:firstLine="0"/>
      </w:pPr>
      <w:rPr>
        <w:rFonts w:hint="eastAsia" w:ascii="宋体" w:hAnsi="宋体" w:eastAsia="宋体" w:cs="宋体"/>
      </w:rPr>
    </w:lvl>
    <w:lvl w:ilvl="4" w:tentative="0">
      <w:start w:val="1"/>
      <w:numFmt w:val="decimal"/>
      <w:pStyle w:val="19"/>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3Zjc4ZmI5ODgyZWQ5ZjBlY2JlMDUwOTQzNjU4MTAifQ=="/>
    <w:docVar w:name="KSO_WPS_MARK_KEY" w:val="b60e8f7b-f6b9-4c55-a2b7-2c2f3a5da620"/>
  </w:docVars>
  <w:rsids>
    <w:rsidRoot w:val="7D081C25"/>
    <w:rsid w:val="008C198A"/>
    <w:rsid w:val="022F0096"/>
    <w:rsid w:val="02906F11"/>
    <w:rsid w:val="03880E8D"/>
    <w:rsid w:val="043B467F"/>
    <w:rsid w:val="05B11352"/>
    <w:rsid w:val="067C28F8"/>
    <w:rsid w:val="07C5572E"/>
    <w:rsid w:val="08385BA0"/>
    <w:rsid w:val="08A03961"/>
    <w:rsid w:val="08D13DE0"/>
    <w:rsid w:val="08E84802"/>
    <w:rsid w:val="091B595E"/>
    <w:rsid w:val="0C5A75A3"/>
    <w:rsid w:val="0CDB6701"/>
    <w:rsid w:val="0D2D096C"/>
    <w:rsid w:val="0EF45BFB"/>
    <w:rsid w:val="10E41D23"/>
    <w:rsid w:val="11904BFF"/>
    <w:rsid w:val="11D72A35"/>
    <w:rsid w:val="120D7712"/>
    <w:rsid w:val="14D7337D"/>
    <w:rsid w:val="15120249"/>
    <w:rsid w:val="15A939F0"/>
    <w:rsid w:val="163572B0"/>
    <w:rsid w:val="16680D9F"/>
    <w:rsid w:val="169E41AA"/>
    <w:rsid w:val="16E009F8"/>
    <w:rsid w:val="186D2DB7"/>
    <w:rsid w:val="195A572B"/>
    <w:rsid w:val="1B285AE1"/>
    <w:rsid w:val="1B45624D"/>
    <w:rsid w:val="1BA40B03"/>
    <w:rsid w:val="1C082C37"/>
    <w:rsid w:val="1C6A3ED7"/>
    <w:rsid w:val="1D097B94"/>
    <w:rsid w:val="1D3904C0"/>
    <w:rsid w:val="1EB853CE"/>
    <w:rsid w:val="1EBA7491"/>
    <w:rsid w:val="1F6E7B55"/>
    <w:rsid w:val="1FA40AAA"/>
    <w:rsid w:val="212A5416"/>
    <w:rsid w:val="214D1A98"/>
    <w:rsid w:val="219637BE"/>
    <w:rsid w:val="22CD1505"/>
    <w:rsid w:val="230D1374"/>
    <w:rsid w:val="245739DC"/>
    <w:rsid w:val="24E816D8"/>
    <w:rsid w:val="25864B04"/>
    <w:rsid w:val="26BA5501"/>
    <w:rsid w:val="26EE3E33"/>
    <w:rsid w:val="27414081"/>
    <w:rsid w:val="27DE6745"/>
    <w:rsid w:val="284657F9"/>
    <w:rsid w:val="29236ABF"/>
    <w:rsid w:val="29C55A9C"/>
    <w:rsid w:val="2B1A65E2"/>
    <w:rsid w:val="2B800CB2"/>
    <w:rsid w:val="2CE2036B"/>
    <w:rsid w:val="2CE52EED"/>
    <w:rsid w:val="2CE561B5"/>
    <w:rsid w:val="2D0D2D89"/>
    <w:rsid w:val="2DBE0818"/>
    <w:rsid w:val="2E9B6172"/>
    <w:rsid w:val="2EDB5022"/>
    <w:rsid w:val="32D766DE"/>
    <w:rsid w:val="34692513"/>
    <w:rsid w:val="34AA2B93"/>
    <w:rsid w:val="34C11776"/>
    <w:rsid w:val="3564721F"/>
    <w:rsid w:val="3609761A"/>
    <w:rsid w:val="36334AFC"/>
    <w:rsid w:val="368C6AFE"/>
    <w:rsid w:val="36954AF9"/>
    <w:rsid w:val="36B81FB7"/>
    <w:rsid w:val="37401CC4"/>
    <w:rsid w:val="37EA3F1D"/>
    <w:rsid w:val="38CC3D05"/>
    <w:rsid w:val="38D8213B"/>
    <w:rsid w:val="39E92488"/>
    <w:rsid w:val="39EF3F42"/>
    <w:rsid w:val="3A935F19"/>
    <w:rsid w:val="3AD77648"/>
    <w:rsid w:val="3D800736"/>
    <w:rsid w:val="3DA858E5"/>
    <w:rsid w:val="3DBF4B86"/>
    <w:rsid w:val="40524014"/>
    <w:rsid w:val="406C4617"/>
    <w:rsid w:val="40BF3F42"/>
    <w:rsid w:val="41054D48"/>
    <w:rsid w:val="42496883"/>
    <w:rsid w:val="42943101"/>
    <w:rsid w:val="4369436D"/>
    <w:rsid w:val="458235FF"/>
    <w:rsid w:val="475F5B6D"/>
    <w:rsid w:val="47777325"/>
    <w:rsid w:val="48317C2C"/>
    <w:rsid w:val="48F101DA"/>
    <w:rsid w:val="4AE805F9"/>
    <w:rsid w:val="4B775B45"/>
    <w:rsid w:val="4BEA523F"/>
    <w:rsid w:val="4C3C08CB"/>
    <w:rsid w:val="4C3F6C80"/>
    <w:rsid w:val="4C4B04D4"/>
    <w:rsid w:val="4CD03E59"/>
    <w:rsid w:val="52E02222"/>
    <w:rsid w:val="52E0608A"/>
    <w:rsid w:val="53E775E0"/>
    <w:rsid w:val="55074C53"/>
    <w:rsid w:val="553D78BA"/>
    <w:rsid w:val="5570004F"/>
    <w:rsid w:val="55A972A5"/>
    <w:rsid w:val="57544F8D"/>
    <w:rsid w:val="57662666"/>
    <w:rsid w:val="59E762D8"/>
    <w:rsid w:val="59ED6D6C"/>
    <w:rsid w:val="5A9D2736"/>
    <w:rsid w:val="5B132A83"/>
    <w:rsid w:val="5B3938CB"/>
    <w:rsid w:val="5CB36309"/>
    <w:rsid w:val="5CC80A77"/>
    <w:rsid w:val="5D832C50"/>
    <w:rsid w:val="5DB47A2E"/>
    <w:rsid w:val="5F0F7529"/>
    <w:rsid w:val="5F9F45C4"/>
    <w:rsid w:val="5FC01207"/>
    <w:rsid w:val="5FD56228"/>
    <w:rsid w:val="619863BE"/>
    <w:rsid w:val="61CF31FC"/>
    <w:rsid w:val="61E951C0"/>
    <w:rsid w:val="627C4C38"/>
    <w:rsid w:val="62DC65C8"/>
    <w:rsid w:val="6389154C"/>
    <w:rsid w:val="63EC2C19"/>
    <w:rsid w:val="63FD575C"/>
    <w:rsid w:val="64421979"/>
    <w:rsid w:val="66C03D86"/>
    <w:rsid w:val="67674832"/>
    <w:rsid w:val="67CE4DDE"/>
    <w:rsid w:val="67E3249B"/>
    <w:rsid w:val="685363C7"/>
    <w:rsid w:val="691417A6"/>
    <w:rsid w:val="6A185608"/>
    <w:rsid w:val="6A6D6639"/>
    <w:rsid w:val="6AC46AFC"/>
    <w:rsid w:val="6AFE06AD"/>
    <w:rsid w:val="6BA00069"/>
    <w:rsid w:val="6BDE45F6"/>
    <w:rsid w:val="6BE93CB1"/>
    <w:rsid w:val="6D143007"/>
    <w:rsid w:val="6D35040B"/>
    <w:rsid w:val="6F2C1A50"/>
    <w:rsid w:val="71200227"/>
    <w:rsid w:val="71474BC2"/>
    <w:rsid w:val="71B737EC"/>
    <w:rsid w:val="71DE1EDF"/>
    <w:rsid w:val="72267214"/>
    <w:rsid w:val="74C4779E"/>
    <w:rsid w:val="755D574B"/>
    <w:rsid w:val="758F21A5"/>
    <w:rsid w:val="75B570E6"/>
    <w:rsid w:val="77387F69"/>
    <w:rsid w:val="775F18F8"/>
    <w:rsid w:val="77F20C4A"/>
    <w:rsid w:val="78116C4F"/>
    <w:rsid w:val="78F13304"/>
    <w:rsid w:val="7A7F4F2B"/>
    <w:rsid w:val="7B8A06A1"/>
    <w:rsid w:val="7C2008B4"/>
    <w:rsid w:val="7C7D364A"/>
    <w:rsid w:val="7D081C25"/>
    <w:rsid w:val="7D4E2B82"/>
    <w:rsid w:val="7D6A55DE"/>
    <w:rsid w:val="7D741EBB"/>
    <w:rsid w:val="7DE95B7F"/>
    <w:rsid w:val="7F577DBF"/>
    <w:rsid w:val="7F771253"/>
    <w:rsid w:val="7FE81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unhideWhenUsed/>
    <w:qFormat/>
    <w:uiPriority w:val="0"/>
    <w:pPr>
      <w:keepNext/>
      <w:keepLines/>
      <w:spacing w:line="360" w:lineRule="auto"/>
      <w:jc w:val="left"/>
      <w:outlineLvl w:val="1"/>
    </w:pPr>
    <w:rPr>
      <w:rFonts w:ascii="Cambria" w:hAnsi="Cambria" w:eastAsia="黑体"/>
      <w:b/>
      <w:bCs/>
      <w:kern w:val="0"/>
      <w:sz w:val="30"/>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eastAsia="宋体"/>
      <w:sz w:val="18"/>
    </w:rPr>
  </w:style>
  <w:style w:type="paragraph" w:styleId="4">
    <w:name w:val="Normal Indent"/>
    <w:basedOn w:val="1"/>
    <w:qFormat/>
    <w:uiPriority w:val="99"/>
    <w:pPr>
      <w:ind w:firstLine="420"/>
    </w:pPr>
  </w:style>
  <w:style w:type="paragraph" w:styleId="5">
    <w:name w:val="annotation text"/>
    <w:basedOn w:val="1"/>
    <w:unhideWhenUsed/>
    <w:qFormat/>
    <w:uiPriority w:val="99"/>
    <w:pPr>
      <w:jc w:val="left"/>
    </w:pPr>
    <w:rPr>
      <w:rFonts w:ascii="Times New Roman"/>
      <w:kern w:val="2"/>
      <w:sz w:val="21"/>
      <w:szCs w:val="24"/>
    </w:rPr>
  </w:style>
  <w:style w:type="paragraph" w:styleId="6">
    <w:name w:val="footer"/>
    <w:basedOn w:val="1"/>
    <w:qFormat/>
    <w:uiPriority w:val="99"/>
    <w:pPr>
      <w:tabs>
        <w:tab w:val="center" w:pos="4153"/>
        <w:tab w:val="right" w:pos="8306"/>
      </w:tabs>
      <w:snapToGrid w:val="0"/>
      <w:jc w:val="left"/>
    </w:pPr>
    <w:rPr>
      <w:kern w:val="0"/>
      <w:sz w:val="18"/>
      <w:szCs w:val="18"/>
    </w:rPr>
  </w:style>
  <w:style w:type="paragraph" w:styleId="7">
    <w:name w:val="Normal (Web)"/>
    <w:basedOn w:val="1"/>
    <w:qFormat/>
    <w:uiPriority w:val="99"/>
    <w:pPr>
      <w:widowControl/>
      <w:jc w:val="left"/>
    </w:pPr>
    <w:rPr>
      <w:rFonts w:ascii="宋体" w:hAnsi="宋体"/>
      <w:kern w:val="0"/>
      <w:sz w:val="24"/>
      <w:szCs w:val="24"/>
    </w:rPr>
  </w:style>
  <w:style w:type="table" w:styleId="9">
    <w:name w:val="Table Grid"/>
    <w:basedOn w:val="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basedOn w:val="1"/>
    <w:next w:val="12"/>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12">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3">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14">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列出段落1"/>
    <w:basedOn w:val="1"/>
    <w:qFormat/>
    <w:uiPriority w:val="0"/>
    <w:pPr>
      <w:ind w:firstLine="420" w:firstLineChars="200"/>
    </w:pPr>
  </w:style>
  <w:style w:type="paragraph" w:styleId="16">
    <w:name w:val="List Paragraph"/>
    <w:basedOn w:val="1"/>
    <w:qFormat/>
    <w:uiPriority w:val="34"/>
    <w:pPr>
      <w:ind w:firstLine="420" w:firstLineChars="200"/>
    </w:pPr>
  </w:style>
  <w:style w:type="paragraph" w:customStyle="1" w:styleId="17">
    <w:name w:val="17“1.”四级标题"/>
    <w:basedOn w:val="18"/>
    <w:qFormat/>
    <w:uiPriority w:val="0"/>
    <w:pPr>
      <w:numPr>
        <w:ilvl w:val="3"/>
        <w:numId w:val="2"/>
      </w:numPr>
      <w:ind w:firstLine="803"/>
    </w:pPr>
  </w:style>
  <w:style w:type="paragraph" w:customStyle="1" w:styleId="18">
    <w:name w:val="02、首行缩进2字符正文"/>
    <w:basedOn w:val="1"/>
    <w:qFormat/>
    <w:uiPriority w:val="0"/>
    <w:pPr>
      <w:tabs>
        <w:tab w:val="left" w:pos="0"/>
      </w:tabs>
      <w:wordWrap w:val="0"/>
      <w:topLinePunct/>
      <w:ind w:firstLine="480" w:firstLineChars="200"/>
    </w:pPr>
  </w:style>
  <w:style w:type="paragraph" w:customStyle="1" w:styleId="19">
    <w:name w:val="18、“1.1”五级标题"/>
    <w:basedOn w:val="17"/>
    <w:qFormat/>
    <w:uiPriority w:val="0"/>
    <w:pPr>
      <w:numPr>
        <w:ilvl w:val="4"/>
      </w:numPr>
      <w:ind w:firstLine="803"/>
    </w:pPr>
  </w:style>
  <w:style w:type="character" w:customStyle="1" w:styleId="20">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21">
    <w:name w:val="font01"/>
    <w:basedOn w:val="10"/>
    <w:qFormat/>
    <w:uiPriority w:val="0"/>
    <w:rPr>
      <w:rFonts w:ascii="宋体" w:hAnsi="宋体" w:eastAsia="宋体" w:cs="宋体"/>
      <w:color w:val="000000"/>
      <w:sz w:val="16"/>
      <w:szCs w:val="16"/>
      <w:u w:val="none"/>
    </w:rPr>
  </w:style>
  <w:style w:type="character" w:customStyle="1" w:styleId="22">
    <w:name w:val="font41"/>
    <w:basedOn w:val="10"/>
    <w:qFormat/>
    <w:uiPriority w:val="0"/>
    <w:rPr>
      <w:rFonts w:hint="default" w:ascii="Arial" w:hAnsi="Arial" w:cs="Arial"/>
      <w:color w:val="000000"/>
      <w:sz w:val="22"/>
      <w:szCs w:val="22"/>
      <w:u w:val="none"/>
    </w:rPr>
  </w:style>
  <w:style w:type="paragraph" w:customStyle="1" w:styleId="23">
    <w:name w:val="15、“一、”二级标题"/>
    <w:basedOn w:val="1"/>
    <w:qFormat/>
    <w:uiPriority w:val="0"/>
    <w:pPr>
      <w:wordWrap w:val="0"/>
      <w:topLinePunct/>
      <w:spacing w:before="100" w:beforeAutospacing="1" w:after="100" w:afterAutospacing="1"/>
      <w:ind w:firstLine="803" w:firstLineChars="200"/>
      <w:outlineLvl w:val="1"/>
    </w:pPr>
    <w:rPr>
      <w:rFonts w:hAnsi="宋体"/>
      <w:b/>
      <w:kern w:val="2"/>
      <w:sz w:val="21"/>
      <w:szCs w:val="21"/>
    </w:rPr>
  </w:style>
  <w:style w:type="paragraph" w:customStyle="1" w:styleId="24">
    <w:name w:val="表"/>
    <w:basedOn w:val="1"/>
    <w:next w:val="1"/>
    <w:qFormat/>
    <w:uiPriority w:val="0"/>
    <w:pPr>
      <w:spacing w:line="240" w:lineRule="auto"/>
      <w:jc w:val="both"/>
    </w:pPr>
  </w:style>
  <w:style w:type="paragraph" w:customStyle="1" w:styleId="25">
    <w:name w:val="正文+缩进"/>
    <w:basedOn w:val="1"/>
    <w:qFormat/>
    <w:uiPriority w:val="0"/>
    <w:pPr>
      <w:ind w:firstLine="200" w:firstLineChars="200"/>
    </w:pPr>
  </w:style>
  <w:style w:type="paragraph" w:customStyle="1" w:styleId="26">
    <w:name w:val="03、“注：”正文(加粗，首行缩进2字符)"/>
    <w:basedOn w:val="1"/>
    <w:qFormat/>
    <w:uiPriority w:val="0"/>
    <w:pPr>
      <w:wordWrap w:val="0"/>
      <w:topLinePunct/>
      <w:ind w:firstLine="480" w:firstLineChars="200"/>
    </w:pPr>
    <w:rPr>
      <w:rFonts w:hAnsi="宋体"/>
      <w:b/>
      <w:kern w:val="2"/>
      <w:sz w:val="21"/>
      <w:szCs w:val="21"/>
    </w:rPr>
  </w:style>
  <w:style w:type="paragraph" w:customStyle="1" w:styleId="27">
    <w:name w:val="01、普通正文"/>
    <w:basedOn w:val="1"/>
    <w:qFormat/>
    <w:uiPriority w:val="0"/>
    <w:pPr>
      <w:wordWrap w:val="0"/>
      <w:topLinePunct/>
    </w:pPr>
    <w:rPr>
      <w:rFonts w:hAnsi="宋体"/>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6891</Words>
  <Characters>7395</Characters>
  <Lines>0</Lines>
  <Paragraphs>0</Paragraphs>
  <TotalTime>52</TotalTime>
  <ScaleCrop>false</ScaleCrop>
  <LinksUpToDate>false</LinksUpToDate>
  <CharactersWithSpaces>7596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2022-04-29T02:19:00Z</dcterms:created>
  <dc:creator>国有资产管理处机要员</dc:creator>
  <cp:lastModifiedBy>promise</cp:lastModifiedBy>
  <dcterms:modified xsi:type="dcterms:W3CDTF">2025-02-28T02:44:39Z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8BB8A8D121034EFF97EB5E63965D77EC</vt:lpwstr>
  </property>
  <property fmtid="{D5CDD505-2E9C-101B-9397-08002B2CF9AE}" pid="4" name="KSOTemplateDocerSaveRecord">
    <vt:lpwstr>eyJoZGlkIjoiMmQ3NWUzOTI2ZjdkMTVjMzhiMzhmMmRiOWVhYWYyOTciLCJ1c2VySWQiOiI3MjY1NDg2MjgifQ==</vt:lpwstr>
  </property>
</Properties>
</file>