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关于“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四川体育职业学院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太平寺校区教学综合楼康复设备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采购项目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”的需求调查书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采购清单</w:t>
      </w:r>
    </w:p>
    <w:tbl>
      <w:tblPr>
        <w:tblStyle w:val="15"/>
        <w:tblW w:w="10798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722"/>
        <w:gridCol w:w="1903"/>
        <w:gridCol w:w="2061"/>
        <w:gridCol w:w="1745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预算（万元）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是否进口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深层肌肉刺激仪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6.00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电动升降诊疗床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23.00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微波治疗仪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23.85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超声波治疗仪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2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39.92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</w:tbl>
    <w:p>
      <w:pPr>
        <w:pStyle w:val="2"/>
      </w:pPr>
    </w:p>
    <w:p>
      <w:pPr>
        <w:pStyle w:val="23"/>
        <w:autoSpaceDE/>
        <w:autoSpaceDN/>
        <w:snapToGrid w:val="0"/>
        <w:spacing w:line="360" w:lineRule="auto"/>
        <w:outlineLvl w:val="1"/>
        <w:rPr>
          <w:rFonts w:hAnsi="宋体"/>
          <w:b/>
          <w:bCs/>
          <w:kern w:val="2"/>
        </w:rPr>
      </w:pPr>
      <w:r>
        <w:rPr>
          <w:rFonts w:hint="eastAsia" w:hAnsi="宋体"/>
          <w:b/>
          <w:bCs/>
        </w:rPr>
        <w:t>二、</w:t>
      </w:r>
      <w:r>
        <w:rPr>
          <w:rFonts w:hint="eastAsia" w:hAnsi="宋体"/>
          <w:b/>
          <w:bCs/>
          <w:kern w:val="2"/>
        </w:rPr>
        <w:t>采购需求</w:t>
      </w:r>
    </w:p>
    <w:tbl>
      <w:tblPr>
        <w:tblStyle w:val="15"/>
        <w:tblW w:w="661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14"/>
        <w:gridCol w:w="760"/>
        <w:gridCol w:w="88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设备名称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数量</w:t>
            </w:r>
          </w:p>
        </w:tc>
        <w:tc>
          <w:tcPr>
            <w:tcW w:w="39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招标参数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深层肌肉刺激仪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2台</w:t>
            </w:r>
          </w:p>
        </w:tc>
        <w:tc>
          <w:tcPr>
            <w:tcW w:w="39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1.振动头敲击频率：60Hz，特定振动频率区间，加强神经肌肉控制，调整姿态，帮助恢复正常的关节活动度。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2.设备用于扭伤、拉伤等软组织损伤康复。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3.设备对于促进血液循环与淋巴回流具有显著的作用。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4.设备对于肌肉慢性疼痛都有着极为明显的疗效。设备通过对肌肉和肌筋膜产生轻微的牵拉作用，可以有效的保持其弹性。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5.设备可有效治疗长度变短的肌肉，刺激较弱以及萎缩肌肉，有效促进肌肉力量平衡，恢复正确体姿，帮助实现更大的运动范围。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6.设备用于训练后全身肌肉或局部肌肉紧张痉挛的治疗与放松，有效缓解训练后乳酸堆积。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7.振动仪尺寸：25.4cm×5.08cm×13.97cm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8.一键开关机，每分钟2000次的敲击频率，转速2000 RPMs，5-7mm的深度机械振动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9.振动头伸缩距离：6mm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10.手柄直径：5.08cm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11.振动仪重量：2.5kg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12.击打头材质：钛合金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电动升降诊疗床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10台</w:t>
            </w:r>
          </w:p>
        </w:tc>
        <w:tc>
          <w:tcPr>
            <w:tcW w:w="39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1.床体采用三折六段分腿设计，带呼吸孔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头部、腰部和腿部倾斜角度可调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2.1头部角度范围:+25°至-35°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2.2腰部角度范围:+25°至0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2.3腿部角度范围:+90°至0°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3.电动控制床体升降，升降高度范围560mm-990mm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4.配置手动开关和四周脚踏杆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5.尺寸:头部长度≥390mm，腰部长度≥640mm，腿部长度≥840mm，总长度≥1940mm，床体宽度≥70cm。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6.床体承重≥225kg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7.伸缩式脚轮设计，方便固定与移动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8.配置定时器,方便治疗师掌握治疗时间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配置:床体(含呼吸孔，定时器)1张，手控开关1个，四周脚踏杆1组。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微波治疗仪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5台</w:t>
            </w:r>
          </w:p>
        </w:tc>
        <w:tc>
          <w:tcPr>
            <w:tcW w:w="39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1、工作频率为2450MHz；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2、微波输出功率：0～99W，连续可调；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3、时间设置：0～30分，连续可调；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4、预存≧15种治疗方案供选择；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5、具有连续波、脉冲波两种微波输出模式。脉冲微波工作周期20%、40%、60%、80%；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6、LED数码显示；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7、具有自动保护装置：过载、闭锁、误操作保护功能；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8、具有功率调整自适应功能，输出功率稳定；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9、微波理疗辐照器：圆形≥Φ160mm；马鞍形≥360mmX120mmX60mm；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10、安全性：外壳泄露：＜1mW/ cm2 ；无用辐射：＜10mW/ cm2；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11、具有功率异常实时自检功能和故障代码显示；并采用加强保护，设备一旦出现异常，设备主机面板上可显示故障状态；（提供软件产品登记测试报告）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12、主机采用一体化推车机柜；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13、适用于康复理疗科等表浅部位疾病及部分炎症的治疗；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14、采用医疗专用耐磨脚轮与全自动重力支架。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超声波治疗仪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8台</w:t>
            </w:r>
          </w:p>
        </w:tc>
        <w:tc>
          <w:tcPr>
            <w:tcW w:w="39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技术要求：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为便携式设计，标配供电电池组，电池续航：≥5h；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具备临床资源库，包含急性、慢性、浅表、深层类病例，病例数量：≥9个；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leftChars="0" w:hanging="26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具备未工作期间自动断电功能，自动断电时间：≤5min；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支持自定义治疗方案存储，数量：≥10个；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电池组重量≤0.85kg；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重量（整机）≤2.3kg；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输出频率：1MHz，3MHz；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工作模式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包含脉冲模式和连续模式；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占空比：1）脉冲模式：10%，20%，50%；2）连续模式：100%；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26" w:leftChars="0" w:firstLine="26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脉冲频率：至少包含如下三种频率：16 Hz，48 Hz，100 Hz 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脉冲持续时间：可选1 ms，2 ms，5 ms 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2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超声探头可选：2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，5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根据不同治疗需求，选配不同的超声探头；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标配5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超声探头  输出频率1MHz、3 MHz 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26" w:leftChars="0" w:firstLine="26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强度：0-2.5W/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（持续模式），0-3W/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（脉冲模式）； 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有效治疗面积：≥4.0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超声探头具有预热功能；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8" w:leftChars="0" w:firstLine="8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超声探头可防水：IPX7标准，可用于水下治疗；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超声探头接触皮肤程度具有视频和音频反馈功能；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具有空载保护功能；</w:t>
            </w:r>
          </w:p>
          <w:p>
            <w:pPr>
              <w:pStyle w:val="2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 w:leftChars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显示：LCD背光显示屏；</w:t>
            </w:r>
          </w:p>
          <w:p>
            <w:pPr>
              <w:autoSpaceDE w:val="0"/>
              <w:autoSpaceDN w:val="0"/>
              <w:adjustRightInd w:val="0"/>
              <w:spacing w:after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配置要求：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主机1台、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超声探头各1个、使用手册1份。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default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  <w:t>商务要求（实质性要求）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default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  <w:t>1、交货安装时间：自合同签订后60日内完成。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default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  <w:t>2、交货地点：四川省成都市武侯区太平寺路9号。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  <w:t>3、付款时间及付款方式：合同签订生效后20个工作日内付合同金额的30%，初验合格后20个工作日内付合同金额的30%，最终验收合格后20个工作日内付合同金额的40%。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宋体"/>
          <w:color w:val="auto"/>
          <w:kern w:val="2"/>
          <w:sz w:val="24"/>
          <w:szCs w:val="24"/>
          <w:lang w:val="en-US" w:eastAsia="zh-CN" w:bidi="ar-SA"/>
        </w:rPr>
        <w:t>4、本项目收取合同金额3%的履约保证金。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三、需求调查内容：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（一）提供本次采购服务内容的相关产业发展、市场供给、同类采购项目历史成交信息，可能涉及的运行维护、升级更新、备品备件、耗材等后续采购，以及其他相关情况。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（二）针对本项目能够提供的具体服务内容。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（三）针对本项目的商务要求，如付款要求、服务人员的配置数量、服务岗位的配置等。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（四）针对本项目的费用构成，包括人员、设备损耗、耗材、软件、系统集成等。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baseline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（五）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本项目目前的采购需求是否合理</w:t>
      </w: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/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>（六</w:t>
      </w:r>
      <w:r>
        <w:rPr>
          <w:rFonts w:hint="eastAsia" w:ascii="宋体" w:hAnsi="Times New Roman" w:eastAsia="宋体" w:cs="宋体"/>
          <w:color w:val="auto"/>
          <w:kern w:val="2"/>
          <w:sz w:val="24"/>
          <w:szCs w:val="24"/>
          <w:lang w:val="en-US" w:eastAsia="zh-CN" w:bidi="ar-SA"/>
        </w:rPr>
        <w:t>）本项目所采购产品是否适宜采购进口产品。</w:t>
      </w:r>
    </w:p>
    <w:p>
      <w:pPr>
        <w:spacing w:line="360" w:lineRule="auto"/>
        <w:ind w:firstLine="480"/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lang w:val="en-US" w:eastAsia="zh-CN" w:bidi="ar-SA"/>
        </w:rPr>
        <w:t>（七）</w:t>
      </w:r>
      <w:r>
        <w:rPr>
          <w:rFonts w:hint="default" w:eastAsia="宋体" w:cs="宋体"/>
          <w:color w:val="auto"/>
          <w:kern w:val="2"/>
          <w:sz w:val="24"/>
          <w:szCs w:val="24"/>
          <w:lang w:val="en-US" w:eastAsia="zh-CN" w:bidi="ar-SA"/>
        </w:rPr>
        <w:t>其他建议意见</w:t>
      </w:r>
      <w:r>
        <w:rPr>
          <w:rFonts w:hint="eastAsia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。    </w:t>
      </w:r>
    </w:p>
    <w:p>
      <w:pPr>
        <w:tabs>
          <w:tab w:val="left" w:pos="2425"/>
        </w:tabs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四川体育职业学院</w:t>
      </w:r>
    </w:p>
    <w:p>
      <w:pPr>
        <w:spacing w:line="360" w:lineRule="auto"/>
        <w:jc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r>
        <w:rPr>
          <w:rFonts w:hint="eastAsia"/>
        </w:rPr>
        <w:br w:type="page"/>
      </w:r>
    </w:p>
    <w:tbl>
      <w:tblPr>
        <w:tblStyle w:val="16"/>
        <w:tblW w:w="105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83"/>
        <w:gridCol w:w="6113"/>
        <w:gridCol w:w="12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四川体育职业学院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太平寺校区教学综合楼康复设备采购项目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需求调查意见表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需求调查内容</w:t>
            </w:r>
          </w:p>
        </w:tc>
        <w:tc>
          <w:tcPr>
            <w:tcW w:w="61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回复内容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本次采购服务内容的相关产业发展、市场供给、同类采购项目历史成交信息，可能涉及的运行维护、升级更新、备品备件、耗材等后续采购，以及其他相关情况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针对本项目能够提供的具体服务内容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针对本项目的商务要求，如付款要求、服务人员的配置数量、服务岗位的配置等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针对本项目的费用构成，包括人员、设备损耗、耗材、软件、系统集成等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本项目目前的采购需求是否合理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本项目所采购产品是否适宜采购进口产品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8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其他建议意见</w:t>
            </w:r>
          </w:p>
        </w:tc>
        <w:tc>
          <w:tcPr>
            <w:tcW w:w="611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6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ind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单位名称（盖章）：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     年  月  日</w:t>
            </w:r>
          </w:p>
        </w:tc>
      </w:tr>
    </w:tbl>
    <w:p>
      <w:pPr>
        <w:pStyle w:val="8"/>
        <w:ind w:left="0" w:leftChars="0" w:firstLine="0" w:firstLineChars="0"/>
        <w:rPr>
          <w:rFonts w:hint="eastAsia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</w:rPr>
        <w:t>注：以上表格格式并不作为强制性要求，可以根据实际内容增加表格内容或</w:t>
      </w:r>
      <w:r>
        <w:rPr>
          <w:rFonts w:hint="eastAsia"/>
          <w:b/>
          <w:bCs/>
          <w:sz w:val="24"/>
          <w:szCs w:val="28"/>
          <w:lang w:val="en-US" w:eastAsia="zh-CN"/>
        </w:rPr>
        <w:t>附件。</w:t>
      </w:r>
    </w:p>
    <w:sectPr>
      <w:pgSz w:w="11906" w:h="16838"/>
      <w:pgMar w:top="1271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681"/>
        </w:tabs>
        <w:ind w:left="681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307"/>
        </w:tabs>
        <w:ind w:left="2307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4310160"/>
    <w:multiLevelType w:val="multilevel"/>
    <w:tmpl w:val="0431016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BAC03"/>
    <w:multiLevelType w:val="singleLevel"/>
    <w:tmpl w:val="6D3BAC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NTQ3ZjhmMzkzMmFlNTkxMTEyNzc1NGFkZWU0NzAifQ=="/>
  </w:docVars>
  <w:rsids>
    <w:rsidRoot w:val="005C1206"/>
    <w:rsid w:val="00010F36"/>
    <w:rsid w:val="000126E8"/>
    <w:rsid w:val="00101569"/>
    <w:rsid w:val="001D309A"/>
    <w:rsid w:val="0023408C"/>
    <w:rsid w:val="003113E8"/>
    <w:rsid w:val="00322F0F"/>
    <w:rsid w:val="0032493E"/>
    <w:rsid w:val="0055103B"/>
    <w:rsid w:val="005C1206"/>
    <w:rsid w:val="00611E40"/>
    <w:rsid w:val="00653A6B"/>
    <w:rsid w:val="006735D0"/>
    <w:rsid w:val="00684484"/>
    <w:rsid w:val="0071590F"/>
    <w:rsid w:val="008468CB"/>
    <w:rsid w:val="009135CF"/>
    <w:rsid w:val="009A61B1"/>
    <w:rsid w:val="009D7692"/>
    <w:rsid w:val="00A55FA6"/>
    <w:rsid w:val="00A8752E"/>
    <w:rsid w:val="00AE7C50"/>
    <w:rsid w:val="00D604DA"/>
    <w:rsid w:val="00E568B3"/>
    <w:rsid w:val="00F11C8F"/>
    <w:rsid w:val="030516AD"/>
    <w:rsid w:val="04694A2D"/>
    <w:rsid w:val="05707E88"/>
    <w:rsid w:val="06585F98"/>
    <w:rsid w:val="07282962"/>
    <w:rsid w:val="0E7C2B52"/>
    <w:rsid w:val="0E980007"/>
    <w:rsid w:val="126D1DEA"/>
    <w:rsid w:val="12E070F9"/>
    <w:rsid w:val="146B5465"/>
    <w:rsid w:val="1740460A"/>
    <w:rsid w:val="196F567B"/>
    <w:rsid w:val="1D2422D8"/>
    <w:rsid w:val="1E0820B6"/>
    <w:rsid w:val="1EDB3684"/>
    <w:rsid w:val="1F470500"/>
    <w:rsid w:val="1F766B70"/>
    <w:rsid w:val="27947577"/>
    <w:rsid w:val="2CBF7B05"/>
    <w:rsid w:val="2E18702B"/>
    <w:rsid w:val="2F283F03"/>
    <w:rsid w:val="3014224E"/>
    <w:rsid w:val="33380434"/>
    <w:rsid w:val="35A85D44"/>
    <w:rsid w:val="364F3007"/>
    <w:rsid w:val="3664588F"/>
    <w:rsid w:val="366E5884"/>
    <w:rsid w:val="3B63562A"/>
    <w:rsid w:val="3CDD3FB6"/>
    <w:rsid w:val="3D3E714E"/>
    <w:rsid w:val="3FA4122A"/>
    <w:rsid w:val="3FB35A12"/>
    <w:rsid w:val="409749EB"/>
    <w:rsid w:val="411A7D2C"/>
    <w:rsid w:val="41782A6F"/>
    <w:rsid w:val="41A30CE0"/>
    <w:rsid w:val="420D10F5"/>
    <w:rsid w:val="42541F85"/>
    <w:rsid w:val="42EA2AED"/>
    <w:rsid w:val="46F3403D"/>
    <w:rsid w:val="47B4597E"/>
    <w:rsid w:val="4A761413"/>
    <w:rsid w:val="4AB83EDC"/>
    <w:rsid w:val="4B5300A9"/>
    <w:rsid w:val="4BED35C4"/>
    <w:rsid w:val="4C0E53DB"/>
    <w:rsid w:val="4C94579F"/>
    <w:rsid w:val="4CD524ED"/>
    <w:rsid w:val="4F15272B"/>
    <w:rsid w:val="4F3F33D0"/>
    <w:rsid w:val="4F441926"/>
    <w:rsid w:val="513C66CD"/>
    <w:rsid w:val="531401D5"/>
    <w:rsid w:val="537C2CC7"/>
    <w:rsid w:val="569F76C1"/>
    <w:rsid w:val="5A4968FF"/>
    <w:rsid w:val="5C653C88"/>
    <w:rsid w:val="5CD44B0E"/>
    <w:rsid w:val="5F8B1C26"/>
    <w:rsid w:val="60EA4DC0"/>
    <w:rsid w:val="61F620D5"/>
    <w:rsid w:val="63AA253D"/>
    <w:rsid w:val="63F55D80"/>
    <w:rsid w:val="64122457"/>
    <w:rsid w:val="64F67CF8"/>
    <w:rsid w:val="66AC1952"/>
    <w:rsid w:val="66B270F0"/>
    <w:rsid w:val="67B252C6"/>
    <w:rsid w:val="68303EA4"/>
    <w:rsid w:val="68B07F46"/>
    <w:rsid w:val="6A421EC7"/>
    <w:rsid w:val="6DE309C1"/>
    <w:rsid w:val="6FC75B4D"/>
    <w:rsid w:val="73691968"/>
    <w:rsid w:val="75B25E3B"/>
    <w:rsid w:val="77495ABE"/>
    <w:rsid w:val="775870FA"/>
    <w:rsid w:val="77905715"/>
    <w:rsid w:val="794D6985"/>
    <w:rsid w:val="7A374F77"/>
    <w:rsid w:val="7AF07A71"/>
    <w:rsid w:val="7B7A3EE7"/>
    <w:rsid w:val="7BC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416" w:lineRule="auto"/>
      <w:ind w:left="0" w:firstLine="0"/>
      <w:outlineLvl w:val="1"/>
    </w:pPr>
    <w:rPr>
      <w:rFonts w:ascii="Cambria" w:hAnsi="Cambria" w:eastAsia="宋体"/>
      <w:b/>
      <w:bCs/>
      <w:sz w:val="30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40" w:after="140" w:line="416" w:lineRule="auto"/>
      <w:outlineLvl w:val="2"/>
    </w:pPr>
    <w:rPr>
      <w:rFonts w:ascii="Calibri" w:hAnsi="Calibri" w:eastAsia="宋体"/>
      <w:b/>
      <w:bCs/>
      <w:sz w:val="28"/>
      <w:szCs w:val="32"/>
    </w:rPr>
  </w:style>
  <w:style w:type="paragraph" w:styleId="7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left="0" w:firstLine="0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eastAsia="宋体"/>
      <w:sz w:val="18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8">
    <w:name w:val="Normal Indent"/>
    <w:basedOn w:val="1"/>
    <w:autoRedefine/>
    <w:qFormat/>
    <w:uiPriority w:val="99"/>
    <w:pPr>
      <w:ind w:firstLine="420"/>
    </w:pPr>
  </w:style>
  <w:style w:type="paragraph" w:styleId="9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10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11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annotation subject"/>
    <w:basedOn w:val="9"/>
    <w:next w:val="9"/>
    <w:link w:val="22"/>
    <w:autoRedefine/>
    <w:semiHidden/>
    <w:unhideWhenUsed/>
    <w:qFormat/>
    <w:uiPriority w:val="99"/>
    <w:rPr>
      <w:b/>
      <w:bCs/>
    </w:rPr>
  </w:style>
  <w:style w:type="paragraph" w:styleId="14">
    <w:name w:val="Body Text First Indent 2"/>
    <w:basedOn w:val="10"/>
    <w:autoRedefine/>
    <w:qFormat/>
    <w:uiPriority w:val="0"/>
    <w:pPr>
      <w:ind w:firstLine="420" w:firstLineChars="200"/>
    </w:pPr>
  </w:style>
  <w:style w:type="table" w:styleId="16">
    <w:name w:val="Table Grid"/>
    <w:basedOn w:val="1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autoRedefine/>
    <w:qFormat/>
    <w:uiPriority w:val="99"/>
    <w:rPr>
      <w:color w:val="333333"/>
      <w:u w:val="none"/>
    </w:rPr>
  </w:style>
  <w:style w:type="character" w:styleId="19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21">
    <w:name w:val="批注文字 字符"/>
    <w:basedOn w:val="17"/>
    <w:link w:val="9"/>
    <w:autoRedefine/>
    <w:semiHidden/>
    <w:qFormat/>
    <w:uiPriority w:val="99"/>
  </w:style>
  <w:style w:type="character" w:customStyle="1" w:styleId="22">
    <w:name w:val="批注主题 字符"/>
    <w:basedOn w:val="21"/>
    <w:link w:val="13"/>
    <w:autoRedefine/>
    <w:semiHidden/>
    <w:qFormat/>
    <w:uiPriority w:val="99"/>
    <w:rPr>
      <w:b/>
      <w:bCs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6">
    <w:name w:val="font01"/>
    <w:basedOn w:val="1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51"/>
    <w:basedOn w:val="1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1655</Words>
  <Characters>1767</Characters>
  <Lines>283</Lines>
  <Paragraphs>79</Paragraphs>
  <TotalTime>3</TotalTime>
  <ScaleCrop>false</ScaleCrop>
  <LinksUpToDate>false</LinksUpToDate>
  <CharactersWithSpaces>1840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2021-07-09T08:21:00Z</dcterms:created>
  <dc:creator>xq</dc:creator>
  <cp:lastModifiedBy>叶姝</cp:lastModifiedBy>
  <dcterms:modified xsi:type="dcterms:W3CDTF">2024-05-06T01:30:44Z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43635243E37C42D6AF56EF812C52C386_13</vt:lpwstr>
  </property>
  <property fmtid="{D5CDD505-2E9C-101B-9397-08002B2CF9AE}" pid="4" name="commondata">
    <vt:lpwstr>eyJoZGlkIjoiYmQ3NjQxYmZmN2ZkODIxYWNiNTEzMzQyMTZmNzQ1MmMifQ==</vt:lpwstr>
  </property>
</Properties>
</file>